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0D" w:rsidRDefault="000D580D" w:rsidP="000D580D">
      <w:pPr>
        <w:pStyle w:val="a3"/>
        <w:rPr>
          <w:rFonts w:ascii="Times New Roman" w:hAnsi="Times New Roman"/>
          <w:spacing w:val="24"/>
        </w:rPr>
      </w:pPr>
      <w:r>
        <w:rPr>
          <w:rFonts w:ascii="Times New Roman" w:hAnsi="Times New Roman"/>
          <w:spacing w:val="24"/>
        </w:rPr>
        <w:t xml:space="preserve">                                             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5C699C75" wp14:editId="5AA414DC">
            <wp:extent cx="6762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</w:rPr>
        <w:t xml:space="preserve">                              </w:t>
      </w:r>
    </w:p>
    <w:p w:rsidR="000D580D" w:rsidRDefault="000D580D" w:rsidP="000D580D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0D580D" w:rsidRDefault="000D580D" w:rsidP="000D580D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БРЫКОВСКОГО МУНИЦИПАЛЬНОГО ОБРАЗОВАНИЯ</w:t>
      </w:r>
    </w:p>
    <w:p w:rsidR="000D580D" w:rsidRDefault="000D580D" w:rsidP="000D580D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ДУХОВНИЦКОГО МУНИЦИПАЛЬНОГО РАЙОНА</w:t>
      </w:r>
    </w:p>
    <w:p w:rsidR="000D580D" w:rsidRDefault="000D580D" w:rsidP="000D580D">
      <w:pPr>
        <w:pStyle w:val="20"/>
        <w:shd w:val="clear" w:color="auto" w:fill="auto"/>
        <w:spacing w:before="0" w:after="402" w:line="270" w:lineRule="exact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САРАТОВСКОЙ ОБЛАСТИ</w:t>
      </w:r>
    </w:p>
    <w:p w:rsidR="000D580D" w:rsidRDefault="000D580D" w:rsidP="000D580D">
      <w:pPr>
        <w:pStyle w:val="20"/>
        <w:shd w:val="clear" w:color="auto" w:fill="auto"/>
        <w:spacing w:before="0" w:after="402" w:line="270" w:lineRule="exact"/>
        <w:rPr>
          <w:b w:val="0"/>
          <w:sz w:val="28"/>
          <w:szCs w:val="28"/>
        </w:rPr>
      </w:pPr>
      <w:r>
        <w:rPr>
          <w:rStyle w:val="25pt"/>
          <w:sz w:val="28"/>
          <w:szCs w:val="28"/>
        </w:rPr>
        <w:t>ПОСТАНОВЛЕНИЕ</w:t>
      </w:r>
    </w:p>
    <w:p w:rsidR="000D580D" w:rsidRPr="00E841C4" w:rsidRDefault="000D580D" w:rsidP="000D580D">
      <w:pPr>
        <w:pStyle w:val="4"/>
        <w:shd w:val="clear" w:color="auto" w:fill="auto"/>
        <w:spacing w:before="0" w:after="230" w:line="270" w:lineRule="exact"/>
        <w:rPr>
          <w:rStyle w:val="1"/>
          <w:b/>
          <w:sz w:val="28"/>
          <w:szCs w:val="28"/>
          <w:u w:val="none"/>
        </w:rPr>
      </w:pPr>
      <w:r w:rsidRPr="00E841C4">
        <w:rPr>
          <w:b/>
          <w:sz w:val="28"/>
          <w:szCs w:val="28"/>
        </w:rPr>
        <w:t xml:space="preserve">от </w:t>
      </w:r>
      <w:r w:rsidR="00E2285C">
        <w:rPr>
          <w:rStyle w:val="1"/>
          <w:b/>
          <w:sz w:val="28"/>
          <w:szCs w:val="28"/>
          <w:u w:val="none"/>
        </w:rPr>
        <w:t xml:space="preserve"> 17</w:t>
      </w:r>
      <w:r w:rsidRPr="00E841C4">
        <w:rPr>
          <w:rStyle w:val="1"/>
          <w:b/>
          <w:sz w:val="28"/>
          <w:szCs w:val="28"/>
          <w:u w:val="none"/>
        </w:rPr>
        <w:t xml:space="preserve">.06.2019 год                                        </w:t>
      </w:r>
      <w:r>
        <w:rPr>
          <w:rStyle w:val="1"/>
          <w:b/>
          <w:sz w:val="28"/>
          <w:szCs w:val="28"/>
          <w:u w:val="none"/>
        </w:rPr>
        <w:t xml:space="preserve">                            № 26</w:t>
      </w:r>
    </w:p>
    <w:p w:rsidR="000D580D" w:rsidRDefault="000D580D" w:rsidP="000D580D">
      <w:pPr>
        <w:pStyle w:val="4"/>
        <w:shd w:val="clear" w:color="auto" w:fill="auto"/>
        <w:spacing w:before="0" w:after="230" w:line="270" w:lineRule="exact"/>
      </w:pPr>
      <w:r w:rsidRPr="00A06564">
        <w:rPr>
          <w:rStyle w:val="1"/>
          <w:u w:val="none"/>
        </w:rPr>
        <w:t xml:space="preserve">                                                         </w:t>
      </w:r>
      <w:proofErr w:type="spellStart"/>
      <w:r w:rsidRPr="00A06564">
        <w:rPr>
          <w:rStyle w:val="1"/>
          <w:u w:val="none"/>
        </w:rPr>
        <w:t>с</w:t>
      </w:r>
      <w:proofErr w:type="gramStart"/>
      <w:r w:rsidRPr="00A06564">
        <w:rPr>
          <w:rStyle w:val="1"/>
          <w:u w:val="none"/>
        </w:rPr>
        <w:t>.Б</w:t>
      </w:r>
      <w:proofErr w:type="gramEnd"/>
      <w:r w:rsidRPr="00A06564">
        <w:rPr>
          <w:rStyle w:val="1"/>
          <w:u w:val="none"/>
        </w:rPr>
        <w:t>рыковка</w:t>
      </w:r>
      <w:proofErr w:type="spellEnd"/>
      <w:r>
        <w:rPr>
          <w:rStyle w:val="1"/>
        </w:rPr>
        <w:t xml:space="preserve">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65"/>
      </w:tblGrid>
      <w:tr w:rsidR="000D580D" w:rsidTr="0037275E">
        <w:tc>
          <w:tcPr>
            <w:tcW w:w="6629" w:type="dxa"/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О создании и организации</w:t>
            </w:r>
          </w:p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системы внутреннего обеспечения</w:t>
            </w:r>
          </w:p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соответствия требованиям</w:t>
            </w:r>
          </w:p>
          <w:p w:rsidR="000D580D" w:rsidRPr="000D580D" w:rsidRDefault="000D580D" w:rsidP="000D580D">
            <w:pPr>
              <w:widowControl/>
              <w:tabs>
                <w:tab w:val="left" w:pos="708"/>
                <w:tab w:val="center" w:pos="4153"/>
                <w:tab w:val="right" w:pos="8306"/>
              </w:tabs>
              <w:suppressAutoHyphens/>
              <w:overflowPunct w:val="0"/>
              <w:autoSpaceDE w:val="0"/>
              <w:ind w:right="434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gree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антимонопольного </w:t>
            </w:r>
            <w:r w:rsidRPr="000D580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законодательства</w:t>
            </w:r>
          </w:p>
          <w:p w:rsidR="000D580D" w:rsidRDefault="000D580D" w:rsidP="0037275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  <w:p w:rsidR="000D580D" w:rsidRDefault="000D580D" w:rsidP="0037275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:rsidR="008B5C37" w:rsidRDefault="000D580D" w:rsidP="000D58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D580D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2 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Уставом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Духовницкого муниципального района</w:t>
      </w:r>
      <w:r w:rsidRPr="000D58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0D580D" w:rsidRDefault="000D580D" w:rsidP="000D580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80D" w:rsidRDefault="000D580D" w:rsidP="000D58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80D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D580D" w:rsidRDefault="000D580D" w:rsidP="000D58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80D" w:rsidRPr="000D580D" w:rsidRDefault="000D580D" w:rsidP="000D580D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1. Утвердить Положение об организации системы внутреннего обеспечения соответствия требованиям антимонопольного законодательства в администрации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 Духовницкого муниципального района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согласно приложению.</w:t>
      </w:r>
    </w:p>
    <w:p w:rsidR="000D580D" w:rsidRPr="000D580D" w:rsidRDefault="000D580D" w:rsidP="000D580D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2. Настоящее постановление вступает в силу со </w:t>
      </w:r>
      <w:r w:rsidR="004E591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дня официального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обнародования.</w:t>
      </w:r>
    </w:p>
    <w:p w:rsidR="000D580D" w:rsidRPr="000D580D" w:rsidRDefault="000D580D" w:rsidP="000D580D">
      <w:pPr>
        <w:suppressAutoHyphens/>
        <w:autoSpaceDE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Глава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                                                                      Л.В. Мальцева</w:t>
      </w:r>
    </w:p>
    <w:p w:rsidR="000D580D" w:rsidRPr="000D580D" w:rsidRDefault="000D580D" w:rsidP="000D580D">
      <w:pPr>
        <w:suppressAutoHyphens/>
        <w:autoSpaceDE w:val="0"/>
        <w:ind w:left="708" w:hanging="70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suppressAutoHyphens/>
        <w:autoSpaceDE w:val="0"/>
        <w:ind w:left="708" w:hanging="70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suppressAutoHyphens/>
        <w:autoSpaceDE w:val="0"/>
        <w:ind w:left="708" w:hanging="70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</w:p>
    <w:p w:rsidR="000D580D" w:rsidRDefault="000D580D" w:rsidP="000D580D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</w:p>
    <w:p w:rsidR="000D580D" w:rsidRPr="004E5917" w:rsidRDefault="000D580D" w:rsidP="000D580D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lastRenderedPageBreak/>
        <w:t xml:space="preserve">                                                                         </w:t>
      </w:r>
      <w:r w:rsidRPr="004E5917">
        <w:rPr>
          <w:rFonts w:ascii="Times New Roman" w:eastAsia="Times New Roman" w:hAnsi="Times New Roman" w:cs="Times New Roman"/>
          <w:color w:val="auto"/>
          <w:lang w:eastAsia="zh-CN"/>
        </w:rPr>
        <w:t>Приложение к постановлению</w:t>
      </w:r>
    </w:p>
    <w:p w:rsidR="000D580D" w:rsidRPr="004E5917" w:rsidRDefault="000D580D" w:rsidP="000D580D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zh-CN"/>
        </w:rPr>
      </w:pPr>
      <w:r w:rsidRPr="004E5917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                      </w:t>
      </w:r>
      <w:r w:rsidR="004E5917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</w:t>
      </w:r>
      <w:r w:rsidRPr="004E5917">
        <w:rPr>
          <w:rFonts w:ascii="Times New Roman" w:eastAsia="Times New Roman" w:hAnsi="Times New Roman" w:cs="Times New Roman"/>
          <w:color w:val="auto"/>
          <w:lang w:eastAsia="zh-CN"/>
        </w:rPr>
        <w:t xml:space="preserve">администрации </w:t>
      </w:r>
      <w:proofErr w:type="spellStart"/>
      <w:r w:rsidRPr="004E5917">
        <w:rPr>
          <w:rFonts w:ascii="Times New Roman" w:eastAsia="Times New Roman" w:hAnsi="Times New Roman" w:cs="Times New Roman"/>
          <w:color w:val="auto"/>
          <w:lang w:eastAsia="zh-CN"/>
        </w:rPr>
        <w:t>Брыковского</w:t>
      </w:r>
      <w:proofErr w:type="spellEnd"/>
    </w:p>
    <w:p w:rsidR="000D580D" w:rsidRPr="004E5917" w:rsidRDefault="000D580D" w:rsidP="000D580D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zh-CN"/>
        </w:rPr>
      </w:pPr>
      <w:r w:rsidRPr="004E5917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                      </w:t>
      </w:r>
      <w:r w:rsidR="004E5917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</w:t>
      </w:r>
      <w:r w:rsidRPr="004E5917">
        <w:rPr>
          <w:rFonts w:ascii="Times New Roman" w:eastAsia="Times New Roman" w:hAnsi="Times New Roman" w:cs="Times New Roman"/>
          <w:color w:val="auto"/>
          <w:lang w:eastAsia="zh-CN"/>
        </w:rPr>
        <w:t xml:space="preserve">муниципального образования                          </w:t>
      </w:r>
    </w:p>
    <w:p w:rsidR="000D580D" w:rsidRPr="004E5917" w:rsidRDefault="004E5917" w:rsidP="004E5917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                                  </w:t>
      </w:r>
      <w:r w:rsidR="000D580D" w:rsidRPr="004E5917">
        <w:rPr>
          <w:rFonts w:ascii="Times New Roman" w:eastAsia="Times New Roman" w:hAnsi="Times New Roman" w:cs="Times New Roman"/>
          <w:color w:val="auto"/>
          <w:lang w:eastAsia="zh-CN"/>
        </w:rPr>
        <w:t>от 17.06.2019 года № 26</w:t>
      </w:r>
    </w:p>
    <w:p w:rsidR="000D580D" w:rsidRPr="000D580D" w:rsidRDefault="000D580D" w:rsidP="000D580D">
      <w:pPr>
        <w:suppressAutoHyphens/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Положение</w:t>
      </w:r>
    </w:p>
    <w:p w:rsidR="000D580D" w:rsidRPr="000D580D" w:rsidRDefault="000D580D" w:rsidP="000D580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об организации системы внутреннего обеспечения</w:t>
      </w:r>
    </w:p>
    <w:p w:rsidR="000D580D" w:rsidRPr="000D580D" w:rsidRDefault="000D580D" w:rsidP="000D580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соответствия требованиям антимонопольного законодательства</w:t>
      </w:r>
    </w:p>
    <w:p w:rsidR="000D580D" w:rsidRDefault="000D580D" w:rsidP="000D580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в администрации  </w:t>
      </w:r>
      <w:proofErr w:type="spellStart"/>
      <w:r w:rsidR="00EB7C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Брыковского</w:t>
      </w:r>
      <w:proofErr w:type="spellEnd"/>
      <w:r w:rsidR="00EB7C4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 муниципального образования</w:t>
      </w:r>
    </w:p>
    <w:p w:rsidR="00EB7C48" w:rsidRDefault="00EB7C48" w:rsidP="000D580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Духовницкого муниципального района</w:t>
      </w:r>
    </w:p>
    <w:p w:rsidR="00EB7C48" w:rsidRPr="000D580D" w:rsidRDefault="00EB7C48" w:rsidP="000D580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I. Общие положения</w:t>
      </w:r>
    </w:p>
    <w:p w:rsidR="000D580D" w:rsidRPr="000D580D" w:rsidRDefault="000D580D" w:rsidP="000D580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1.1. Настоящее Положение разработано в целях формирования единого подхода к созданию и организации в администрации</w:t>
      </w:r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proofErr w:type="spellStart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 Духовницкого муниципального района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(далее – администрация) системы внутреннего обеспечения соответствия требованиям антимонопольного законодательства (далее – система обеспечения антимонопольных требований).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1.2. Термины, используемые в настоящем Положении, означают следующее: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«антимонопольное законодательство» – законодательство, основывающееся на </w:t>
      </w:r>
      <w:hyperlink r:id="rId7" w:history="1">
        <w:r w:rsidRPr="000D580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zh-CN"/>
          </w:rPr>
          <w:t>Конституции</w:t>
        </w:r>
      </w:hyperlink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Российской Федерации, Гражданском </w:t>
      </w:r>
      <w:hyperlink r:id="rId8" w:history="1">
        <w:r w:rsidRPr="000D580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zh-CN"/>
          </w:rPr>
          <w:t>кодексе</w:t>
        </w:r>
      </w:hyperlink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Российской Федерации и состоящее из Федерального </w:t>
      </w:r>
      <w:hyperlink r:id="rId9" w:history="1">
        <w:r w:rsidRPr="000D580D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zh-CN"/>
          </w:rPr>
          <w:t>закона</w:t>
        </w:r>
      </w:hyperlink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«О защите конкуренции», иных федеральных законов, регулирующих отношения, связанные с защитой конкуренции, в том числе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с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предупреждением и пресечением монополистической деятельности и недобросовестной конкуренции, в которых участвуют органы местного самоуправления  муниципального образования и их должностные лица;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«нарушение антимонопольного законодательства» – недопущение, ограничение, устранение конкуренции  должностными лицами администрации;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«риски нарушения антимонопольного законодательства» – сочетание вероятности и последствий наступления неблагоприятных событий в виде ограничения, устранения или недопущения конкуренции.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II. Цели, задачи и принципы система обеспечения антимонопольных требований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2.1. Цели системы обеспечения антимонопольных требований: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а) обеспечение соответствия деятельности должностных лиц администрации требованиям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б) профилактика нарушения требований антимонопольного законодательства в </w:t>
      </w:r>
      <w:r w:rsidR="00AC16A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деятельности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должностных лиц администрации.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2.2. Задачи системы обеспечения антимонопольных требований: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lastRenderedPageBreak/>
        <w:t>а) выявление рисков нарушения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б) управление рисками нарушения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в)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контроль за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соответствием деятельности должностных лиц администрации требованиям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г) оценка эффективности функционирования в администрации системы обеспечения антимонопольных требований.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2.3. При организации системы обеспечения антимонопольных требований должностные лица администрации руководствуются следующими принципами: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а) заинтересованность в эффективности функционирования  системы обеспечения антимонопольных требований;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б) регулярность оценки рисков нарушения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в) обеспечение информационной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открытости функционирования системы обеспечения антимонопольных требований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г) непрерывность функционирования и совершенствование системы обеспечения антимонопольных требований.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III. Сведения об органе, ответственном за функционирование системы обеспечения антимонопольных требований, и коллегиальном органе, осуществляющем оценку эффективности ее функционирования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3.1. Общий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контроль за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организацией и функционированием системы обеспечения антимонопольных требований осуществляется главой </w:t>
      </w:r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муниципального образования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, который: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а) применяет предусмотренные законодательством Российской Федерации меры ответственности за несоблюдение муниципальными служащими правовых актов об организации и функционировании системы обеспечения антимонопольных требований;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б) рассматривает материалы, отчеты и результаты периодических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оценок эффективности функционирования системы обеспечения антимонопольных требований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и принимает меры, направленные на устранение выявленных недостатков;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в) осуществляет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контроль за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устранением выявленных недостатков системы обеспечения антимонопольных требований.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3.2. К компетенции </w:t>
      </w:r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администрации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относятся следующие функции: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б) выявление конфликта интересов в деятельности служащих администрации, разработка предложений по их исключению;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в) организация обучения служащих администрации по вопросам, связанным с соблюдением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lastRenderedPageBreak/>
        <w:t>г) организация внутренних расследований, связанных с функционированием системы обеспечения антимонопольных требований;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д)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е) информирование</w:t>
      </w:r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главы муниципального образования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о внутренних документах, которые могут повлечь нарушение антимонопольного законодательства.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3.3. Оценку эффективности организации и функционирования системы обеспечения антимонопольных требований осуществляет общественный совет при администрации</w:t>
      </w:r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proofErr w:type="spellStart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, к функциям которого относятся: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а)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рассмотрение и оценка мероприятий администрации в части, касающейся функционирования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системы обеспечения антимонопольных требований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рассмотрение и утверждение доклада о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системе обеспечения антимонопольных требований.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I</w:t>
      </w: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V. Порядок выявления и оценки рисков нарушения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антимонопольного законодательства 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4.1. В целях выявления рисков нарушения антимонопольного законодательства </w:t>
      </w:r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администрация </w:t>
      </w:r>
      <w:proofErr w:type="spellStart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</w:t>
      </w:r>
      <w:r w:rsidRPr="000D580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  <w:t xml:space="preserve">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на регулярной основе организуется проведение следующих мероприятий: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а) анализ выявленных нарушений антимонопольного законодательства в деятельности администрации за предыдущие 3 года (наличие предостережений, предупреждений, штрафов, жалоб, возбужденных дел);</w:t>
      </w:r>
      <w:proofErr w:type="gramEnd"/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б) анализ нормативных правовых актов органов местного самоуправления муниципального образования;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в) анализ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проектов нормативных правовых актов органов местного самоуправления муниципального образования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г) мониторинг и анализ практики применения администрацией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4.2. При проведении (не реже одного раза в год)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проводятся следующие мероприятия: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а) осуществление сбора в администрации сведений о наличии нарушений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б) составление перечня нарушений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lastRenderedPageBreak/>
        <w:t>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устранению нарушения, а также о принятых мерах, направленных на недопущение повторения нарушения.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4.3. При проведении (не реже одного раза в год) анализа нормативных правовых актов организуется проведение следующих мероприятий: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а) разработка и размещение на официальном сайте администрации в сети  «Интернет» исчерпывающего перечня муниципальных нормативных правовых актов (далее –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б) размещение на официальном сайте администрации уведомления о начале сбора замечаний и предложений организаций и граждан по перечню актов;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г) рассмотрение вопросов необходимости внесения изменений в муниципальные нормативные правовые акты.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4.4. При проведении анализа проектов нормативных правовых актов реализуются следующие мероприятия: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а) размещение на официальном сайте администрации в сети  «Интернет» проекта муниципального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4.5. При проведении мониторинга и анализа практики применения антимонопольного законодательства реализуются следующие мероприятия: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bookmarkStart w:id="0" w:name="Par87"/>
      <w:bookmarkEnd w:id="0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а) осуществление на постоянной основе сбора сведений о правоприменительной практике в администрации;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б) подготовка по итогам сбора информации, предусмотренной </w:t>
      </w:r>
      <w:hyperlink r:id="rId10" w:anchor="Par87" w:history="1">
        <w:r w:rsidRPr="000D58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подпунктом «а</w:t>
        </w:r>
      </w:hyperlink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» настоящего пункта, аналитической справки об изменениях и основных аспектах правоприменительной практики;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в) проведение (по мере необходимости) рабочих совещаний с приглашением представителей антимонопольного органа по обсуждению результатов правоприменительной практики.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4.6. При выявлении рисков нарушения антимонопольного законодательства </w:t>
      </w:r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администрация </w:t>
      </w:r>
      <w:proofErr w:type="spellStart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</w:t>
      </w:r>
      <w:r w:rsidRPr="000D580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  <w:t xml:space="preserve">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обеспечивается проведение оценки таких рисков. Выявляемые риски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lastRenderedPageBreak/>
        <w:t xml:space="preserve">нарушения антимонопольного законодательства распределяются по уровням согласно </w:t>
      </w:r>
      <w:hyperlink r:id="rId11" w:anchor="Par137" w:history="1">
        <w:r w:rsidRPr="000D58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приложению</w:t>
        </w:r>
      </w:hyperlink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№ 1 к настоящему Положению.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4.7. На основе проведенной оценки рисков нарушения антимонопольного законодательства</w:t>
      </w:r>
      <w:r w:rsidR="00EB7C48" w:rsidRP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администрацией </w:t>
      </w:r>
      <w:proofErr w:type="spellStart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составляется описание рисков согласно приложению № 2 к настоящему Положению.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4.9. Информация о проведении выявления и оценки рисков нарушения антимонопольного законодательства включается </w:t>
      </w:r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администрацией </w:t>
      </w:r>
      <w:proofErr w:type="spellStart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 w:rsidR="00EB7C4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</w:t>
      </w:r>
      <w:r w:rsidR="00EB7C48" w:rsidRPr="000D580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  <w:t xml:space="preserve">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 доклад о системе обеспечения антимонопольных требований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V. Мероприятия по снижению рисков нарушения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антимонопольного законодательства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5.1. В целях снижения рисков нарушения антимонопольного законодательства </w:t>
      </w:r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администрацией </w:t>
      </w:r>
      <w:proofErr w:type="spellStart"/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</w:t>
      </w:r>
      <w:r w:rsidRPr="000D580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  <w:t xml:space="preserve">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обеспечивается разработка (не реже одного раза в год) мероприятий по снижению рисков нарушения антимонопольного законодательства.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5.2. Информация об исполнении мероприятий по снижению рисков нарушения антимонопольного законодательства должна включаться в доклад о системе обеспечения антимонопольных требований.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proofErr w:type="gramStart"/>
      <w:r w:rsidRPr="000D580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zh-CN"/>
        </w:rPr>
        <w:t>VI</w:t>
      </w:r>
      <w:r w:rsidRPr="000D580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.Осуществление  контроля</w:t>
      </w:r>
      <w:proofErr w:type="gramEnd"/>
      <w:r w:rsidRPr="000D580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 за функционированием </w:t>
      </w:r>
      <w:r w:rsidR="00E2285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системы</w:t>
      </w:r>
      <w:r w:rsidRPr="000D580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 обеспечения антимонопольных требований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6.1. Общий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контроль за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организацией и функционированием системы обеспечения антимонопольных требований осуществляется главой</w:t>
      </w:r>
      <w:r w:rsidR="00E2285C" w:rsidRP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proofErr w:type="spellStart"/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, который: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а) рассматривает материалы, отчеты и результаты периодических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оценок эффективности функционирования системы обеспечения антимонопольных требований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и принимает меры, направленные на устранение выявленных недостатков;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б) осуществляет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контроль за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устранением выявленных недостатков системы обеспечения антимонопольных требований.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VI</w:t>
      </w: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I</w:t>
      </w: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. Ключевые показатели и порядок </w:t>
      </w:r>
      <w:proofErr w:type="gramStart"/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оценки эффективности функционирования системы обеспечения антимонопольных требований</w:t>
      </w:r>
      <w:proofErr w:type="gramEnd"/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7.1. В целях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оценки эффективности функционирования системы обеспечения антимонопольных требований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устанавливаются следующие ключевые показатели: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а) снижение количества правонарушений в области антимонопольного законодательства, совершенных должностными лицами администрации;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lastRenderedPageBreak/>
        <w:t>б) отсутствие выданных администрации и должностным лицам администрации предупреждений антимонопольных органов;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в) отсутствие возбужденных дел о нарушении администрацией, должностными лицами администрации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г) отсутствие фактов привлечения администрации, должностных лиц администрации к административной ответственности за нарушение антимонопольного законодательства.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7.2. </w:t>
      </w:r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Администрация </w:t>
      </w:r>
      <w:proofErr w:type="spellStart"/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</w:t>
      </w:r>
      <w:r w:rsidR="00E2285C"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проводит не реже одного раза в год оценку достижения ключевых показателей эффективности системы обеспечения антимонопольных требований, информация о результатах оценки должна включаться в доклад о системе обеспечения антимонопольных требований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VII</w:t>
      </w: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I</w:t>
      </w:r>
      <w:r w:rsidRPr="000D58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. Доклад о системе обеспечения антимонопольных требований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8.1. Доклад о системе обеспечения антимонопольных требований должен содержать информацию: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а) о результатах проведенной оценки рисков нарушения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б) об исполнении мероприятий по снижению рисков нарушения антимонопольного законодательства;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в) о достижении ключевых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показателей эффективности системы обеспечения антимонопольных требований</w:t>
      </w:r>
      <w:proofErr w:type="gramEnd"/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8.2. </w:t>
      </w:r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Специалист администрации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представляет доклад на подпись главе</w:t>
      </w:r>
      <w:r w:rsidRPr="000D580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  <w:t>,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который направляет доклад на</w:t>
      </w:r>
      <w:r w:rsidRPr="000D580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  <w:t xml:space="preserve"> 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утверждение в общественный совет при администрации</w:t>
      </w:r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proofErr w:type="spellStart"/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, не реже одного раза в год до 1 февраля.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8.3. Доклад, утвержденный</w:t>
      </w:r>
      <w:r w:rsidR="00E2285C" w:rsidRP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общественным</w:t>
      </w:r>
      <w:r w:rsidR="00E2285C"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совет</w:t>
      </w:r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ом</w:t>
      </w:r>
      <w:r w:rsidR="00E2285C"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при администрации</w:t>
      </w:r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proofErr w:type="spellStart"/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Брыковского</w:t>
      </w:r>
      <w:proofErr w:type="spellEnd"/>
      <w:r w:rsidR="00E2285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муниципального образования</w:t>
      </w: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, размещается на официальном сайте администрации в сети «Интернет» и направляется в территориальный орган Федеральной антимонопольной службы ежегодно не позднее 1 марта.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suppressAutoHyphens/>
        <w:autoSpaceDE w:val="0"/>
        <w:ind w:left="708" w:hanging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E2285C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</w:t>
      </w: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AC16A8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</w:t>
      </w:r>
    </w:p>
    <w:p w:rsidR="00AC16A8" w:rsidRDefault="00AC16A8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AC16A8" w:rsidRDefault="00AC16A8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AC16A8" w:rsidRDefault="00AC16A8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AC16A8" w:rsidRDefault="00AC16A8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AC16A8" w:rsidRDefault="00AC16A8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0D580D" w:rsidRPr="000D580D" w:rsidRDefault="00AC16A8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lastRenderedPageBreak/>
        <w:t xml:space="preserve">                                       </w:t>
      </w:r>
      <w:bookmarkStart w:id="1" w:name="_GoBack"/>
      <w:bookmarkEnd w:id="1"/>
      <w:r w:rsidR="000D580D" w:rsidRPr="000D580D">
        <w:rPr>
          <w:rFonts w:ascii="Times New Roman" w:eastAsia="Times New Roman" w:hAnsi="Times New Roman" w:cs="Times New Roman"/>
          <w:color w:val="auto"/>
          <w:lang w:eastAsia="zh-CN"/>
        </w:rPr>
        <w:t>Приложение № 1 к Положению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           об организации системы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lang w:eastAsia="zh-CN"/>
        </w:rPr>
        <w:t>внутреннего</w:t>
      </w:r>
      <w:proofErr w:type="gramEnd"/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               обеспечения соответствия требованиям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          антимонопольного законодательства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</w:t>
      </w:r>
      <w:r w:rsidR="00E2285C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</w:t>
      </w: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в </w:t>
      </w:r>
      <w:proofErr w:type="spellStart"/>
      <w:r w:rsidR="00E2285C">
        <w:rPr>
          <w:rFonts w:ascii="Times New Roman" w:eastAsia="Times New Roman" w:hAnsi="Times New Roman" w:cs="Times New Roman"/>
          <w:color w:val="auto"/>
          <w:lang w:eastAsia="zh-CN"/>
        </w:rPr>
        <w:t>Брыковском</w:t>
      </w:r>
      <w:proofErr w:type="spellEnd"/>
      <w:r w:rsidR="00E2285C">
        <w:rPr>
          <w:rFonts w:ascii="Times New Roman" w:eastAsia="Times New Roman" w:hAnsi="Times New Roman" w:cs="Times New Roman"/>
          <w:color w:val="auto"/>
          <w:lang w:eastAsia="zh-CN"/>
        </w:rPr>
        <w:t xml:space="preserve"> муниципальном образовании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zh-CN"/>
        </w:rPr>
      </w:pPr>
      <w:bookmarkStart w:id="2" w:name="Par137"/>
      <w:bookmarkEnd w:id="2"/>
      <w:r w:rsidRPr="000D580D">
        <w:rPr>
          <w:rFonts w:ascii="Times New Roman" w:eastAsia="Times New Roman" w:hAnsi="Times New Roman" w:cs="Times New Roman"/>
          <w:b/>
          <w:bCs/>
          <w:color w:val="auto"/>
          <w:lang w:eastAsia="zh-CN"/>
        </w:rPr>
        <w:t>Уровни рисков нарушения антимонопольного законодательства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0D580D" w:rsidRPr="000D580D" w:rsidTr="0037275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Уровень риска</w:t>
            </w:r>
          </w:p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Описание риска</w:t>
            </w:r>
          </w:p>
        </w:tc>
      </w:tr>
      <w:tr w:rsidR="000D580D" w:rsidRPr="000D580D" w:rsidTr="0037275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Низкий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Отрицательное влияние на отношение институтов гражданского общества к деятельности органов местного самоуправления и должностных лиц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отсутствует.</w:t>
            </w:r>
          </w:p>
        </w:tc>
      </w:tr>
      <w:tr w:rsidR="000D580D" w:rsidRPr="000D580D" w:rsidTr="0037275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Незначительный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Вероятность выдачи муниципальным органам и должностным лицам предупреждения.</w:t>
            </w:r>
          </w:p>
        </w:tc>
      </w:tr>
      <w:tr w:rsidR="000D580D" w:rsidRPr="000D580D" w:rsidTr="0037275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Существенный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Вероятность выдачи муниципальным органам и должностным лицам предупреждения и возбуждения в отношении них дела о нарушении антимонопольного законодательства.</w:t>
            </w:r>
          </w:p>
        </w:tc>
      </w:tr>
      <w:tr w:rsidR="000D580D" w:rsidRPr="000D580D" w:rsidTr="0037275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Высокий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Вероятность выдачи муниципальным органам и должностным лицам предупреждения, возбуждения в отношении них дела о нарушении антимонопольного законодательства и привлечения к административной ответственности (штраф, дисквалификация).</w:t>
            </w:r>
          </w:p>
        </w:tc>
      </w:tr>
    </w:tbl>
    <w:p w:rsidR="000D580D" w:rsidRPr="000D580D" w:rsidRDefault="000D580D" w:rsidP="000D580D">
      <w:pPr>
        <w:suppressAutoHyphens/>
        <w:autoSpaceDE w:val="0"/>
        <w:ind w:left="708" w:hanging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E2285C" w:rsidRDefault="000D580D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</w:t>
      </w: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E2285C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0D580D" w:rsidRPr="000D580D" w:rsidRDefault="00E2285C" w:rsidP="000D580D">
      <w:pPr>
        <w:widowControl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lastRenderedPageBreak/>
        <w:t xml:space="preserve">                                       </w:t>
      </w:r>
      <w:r w:rsidR="000D580D" w:rsidRPr="000D580D">
        <w:rPr>
          <w:rFonts w:ascii="Times New Roman" w:eastAsia="Times New Roman" w:hAnsi="Times New Roman" w:cs="Times New Roman"/>
          <w:color w:val="auto"/>
          <w:lang w:eastAsia="zh-CN"/>
        </w:rPr>
        <w:t>Приложение № 2 к Положению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           об организации системы </w:t>
      </w:r>
      <w:proofErr w:type="gramStart"/>
      <w:r w:rsidRPr="000D580D">
        <w:rPr>
          <w:rFonts w:ascii="Times New Roman" w:eastAsia="Times New Roman" w:hAnsi="Times New Roman" w:cs="Times New Roman"/>
          <w:color w:val="auto"/>
          <w:lang w:eastAsia="zh-CN"/>
        </w:rPr>
        <w:t>внутреннего</w:t>
      </w:r>
      <w:proofErr w:type="gramEnd"/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               обеспечения соответствия требованиям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          антимонопольного законодательства</w:t>
      </w:r>
    </w:p>
    <w:p w:rsid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</w:t>
      </w:r>
      <w:r w:rsidR="00E2285C"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</w:t>
      </w:r>
      <w:r w:rsidRPr="000D580D">
        <w:rPr>
          <w:rFonts w:ascii="Times New Roman" w:eastAsia="Times New Roman" w:hAnsi="Times New Roman" w:cs="Times New Roman"/>
          <w:color w:val="auto"/>
          <w:lang w:eastAsia="zh-CN"/>
        </w:rPr>
        <w:t xml:space="preserve">в </w:t>
      </w:r>
      <w:proofErr w:type="spellStart"/>
      <w:r w:rsidR="00E2285C">
        <w:rPr>
          <w:rFonts w:ascii="Times New Roman" w:eastAsia="Times New Roman" w:hAnsi="Times New Roman" w:cs="Times New Roman"/>
          <w:color w:val="auto"/>
          <w:lang w:eastAsia="zh-CN"/>
        </w:rPr>
        <w:t>Брыковском</w:t>
      </w:r>
      <w:proofErr w:type="spellEnd"/>
      <w:r w:rsidR="00E2285C">
        <w:rPr>
          <w:rFonts w:ascii="Times New Roman" w:eastAsia="Times New Roman" w:hAnsi="Times New Roman" w:cs="Times New Roman"/>
          <w:color w:val="auto"/>
          <w:lang w:eastAsia="zh-CN"/>
        </w:rPr>
        <w:t xml:space="preserve"> муниципальном образовании</w:t>
      </w:r>
    </w:p>
    <w:p w:rsidR="00E2285C" w:rsidRPr="000D580D" w:rsidRDefault="00E2285C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 xml:space="preserve">                                                                  Духовницкого муниципального района</w:t>
      </w:r>
    </w:p>
    <w:p w:rsidR="000D580D" w:rsidRPr="000D580D" w:rsidRDefault="000D580D" w:rsidP="000D580D">
      <w:pPr>
        <w:suppressAutoHyphens/>
        <w:autoSpaceDE w:val="0"/>
        <w:ind w:left="708" w:hanging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suppressAutoHyphens/>
        <w:autoSpaceDE w:val="0"/>
        <w:ind w:left="708" w:hanging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0D580D">
        <w:rPr>
          <w:rFonts w:ascii="Times New Roman" w:eastAsia="Times New Roman" w:hAnsi="Times New Roman" w:cs="Times New Roman"/>
          <w:b/>
          <w:bCs/>
          <w:color w:val="auto"/>
          <w:lang w:eastAsia="zh-CN"/>
        </w:rPr>
        <w:t>Описание рисков нарушения антимонопольного законодательства</w:t>
      </w:r>
    </w:p>
    <w:p w:rsidR="000D580D" w:rsidRPr="000D580D" w:rsidRDefault="000D580D" w:rsidP="000D580D">
      <w:pPr>
        <w:widowControl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134"/>
        <w:gridCol w:w="1560"/>
        <w:gridCol w:w="1701"/>
        <w:gridCol w:w="1701"/>
        <w:gridCol w:w="1666"/>
      </w:tblGrid>
      <w:tr w:rsidR="000D580D" w:rsidRPr="000D580D" w:rsidTr="0037275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Выявленные  риски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Описание рисков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Причины возникновения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Мероприятия по минимизации и устранению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Наличие (отсутствие) остаточных рисков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0D5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Вероятность повторного возникновения рисков</w:t>
            </w:r>
          </w:p>
        </w:tc>
      </w:tr>
      <w:tr w:rsidR="000D580D" w:rsidRPr="000D580D" w:rsidTr="0037275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0D" w:rsidRPr="000D580D" w:rsidRDefault="000D580D" w:rsidP="000D580D">
            <w:pPr>
              <w:widowControl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</w:tbl>
    <w:p w:rsidR="000D580D" w:rsidRPr="000D580D" w:rsidRDefault="000D580D" w:rsidP="000D58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80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br w:type="page"/>
      </w:r>
    </w:p>
    <w:sectPr w:rsidR="000D580D" w:rsidRPr="000D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D2"/>
    <w:rsid w:val="00055BD2"/>
    <w:rsid w:val="000D580D"/>
    <w:rsid w:val="004E5917"/>
    <w:rsid w:val="008B5C37"/>
    <w:rsid w:val="00AC16A8"/>
    <w:rsid w:val="00E2285C"/>
    <w:rsid w:val="00E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5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0D580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580D"/>
    <w:pPr>
      <w:shd w:val="clear" w:color="auto" w:fill="FFFFFF"/>
      <w:spacing w:before="480" w:after="300" w:line="33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4">
    <w:name w:val="Основной текст_"/>
    <w:link w:val="4"/>
    <w:locked/>
    <w:rsid w:val="000D58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0D580D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5pt">
    <w:name w:val="Основной текст (2) + Интервал 5 pt"/>
    <w:rsid w:val="000D58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rsid w:val="000D58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D5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80D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5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0D580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580D"/>
    <w:pPr>
      <w:shd w:val="clear" w:color="auto" w:fill="FFFFFF"/>
      <w:spacing w:before="480" w:after="300" w:line="33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4">
    <w:name w:val="Основной текст_"/>
    <w:link w:val="4"/>
    <w:locked/>
    <w:rsid w:val="000D58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0D580D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5pt">
    <w:name w:val="Основной текст (2) + Интервал 5 pt"/>
    <w:rsid w:val="000D58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rsid w:val="000D58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D5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80D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0A5F946CAE8C6B2AD23BF5513773DDFE1B56C809871E7343D6B05F033B133D700C5D41DE722E83A1C7200F26w018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B0A5F946CAE8C6B2AD23BF5513773DDFE1A55CB0BD349711283BE5A0B6B492D74450948C176319DA2D923w016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Documents%20and%20Settings\user\&#1056;&#1072;&#1073;&#1086;&#1095;&#1080;&#1081;%20&#1089;&#1090;&#1086;&#1083;\&#1052;&#1086;&#1080;%20&#1076;&#1086;&#1082;&#1091;&#1084;&#1077;&#1085;&#1090;&#1099;\&#1055;&#1088;&#1080;&#1082;&#1072;&#1079;&#1099;%20&#1087;&#1086;%20&#1087;&#1088;&#1086;&#1080;&#1079;&#1074;&#1086;&#1076;&#1089;&#1090;&#1074;&#1077;&#1085;&#1085;&#1099;&#1084;%20&#1074;&#1086;&#1087;&#1088;&#1086;&#1089;&#1072;&#1084;\&#1055;&#1088;&#1080;&#1082;&#1072;&#1079;&#1099;%20&#1076;&#1083;&#1103;%20&#1059;&#1087;&#1088;&#1072;&#1074;&#1083;&#1077;&#1085;&#1080;&#1103;%20&#1052;&#1080;&#1085;&#1102;&#1089;&#1090;&#1072;%20&#1080;%20&#1052;&#1048;&#1048;&#1055;\2019\&#1040;&#1085;&#1090;&#1080;&#1084;&#1086;&#1085;&#1086;&#1087;&#1086;&#1083;&#1100;&#1085;&#1099;&#1081;%20&#1082;&#1086;&#1084;&#1087;&#1083;&#1072;&#1077;&#1085;&#1089;\&#1055;&#1088;&#1080;&#1082;&#1072;&#1079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Documents%20and%20Settings\user\&#1056;&#1072;&#1073;&#1086;&#1095;&#1080;&#1081;%20&#1089;&#1090;&#1086;&#1083;\&#1052;&#1086;&#1080;%20&#1076;&#1086;&#1082;&#1091;&#1084;&#1077;&#1085;&#1090;&#1099;\&#1055;&#1088;&#1080;&#1082;&#1072;&#1079;&#1099;%20&#1087;&#1086;%20&#1087;&#1088;&#1086;&#1080;&#1079;&#1074;&#1086;&#1076;&#1089;&#1090;&#1074;&#1077;&#1085;&#1085;&#1099;&#1084;%20&#1074;&#1086;&#1087;&#1088;&#1086;&#1089;&#1072;&#1084;\&#1055;&#1088;&#1080;&#1082;&#1072;&#1079;&#1099;%20&#1076;&#1083;&#1103;%20&#1059;&#1087;&#1088;&#1072;&#1074;&#1083;&#1077;&#1085;&#1080;&#1103;%20&#1052;&#1080;&#1085;&#1102;&#1089;&#1090;&#1072;%20&#1080;%20&#1052;&#1048;&#1048;&#1055;\2019\&#1040;&#1085;&#1090;&#1080;&#1084;&#1086;&#1085;&#1086;&#1087;&#1086;&#1083;&#1100;&#1085;&#1099;&#1081;%20&#1082;&#1086;&#1084;&#1087;&#1083;&#1072;&#1077;&#1085;&#1089;\&#1055;&#1088;&#1080;&#1082;&#1072;&#1079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0A5F946CAE8C6B2AD23BF5513773DDFE1B53CC08851E7343D6B05F033B133D700C5D41DE722E83A1C7200F26w01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74653-EF5F-4931-BE0A-27154C69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2019-06-18T11:40:00Z</cp:lastPrinted>
  <dcterms:created xsi:type="dcterms:W3CDTF">2019-06-17T11:42:00Z</dcterms:created>
  <dcterms:modified xsi:type="dcterms:W3CDTF">2019-06-18T11:42:00Z</dcterms:modified>
</cp:coreProperties>
</file>