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B7" w:rsidRPr="008B2BB7" w:rsidRDefault="008B2BB7" w:rsidP="008B2B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</w:pPr>
      <w:bookmarkStart w:id="0" w:name="Par1"/>
      <w:bookmarkEnd w:id="0"/>
      <w:r w:rsidRPr="008B2BB7">
        <w:rPr>
          <w:rFonts w:ascii="Times New Roman" w:eastAsia="Lucida Sans Unicode" w:hAnsi="Times New Roman" w:cs="Times New Roman"/>
          <w:kern w:val="3"/>
          <w:lang w:eastAsia="ru-RU" w:bidi="hi-IN"/>
        </w:rPr>
        <w:t xml:space="preserve">                                                   </w:t>
      </w:r>
      <w:r w:rsidRPr="008B2BB7">
        <w:rPr>
          <w:rFonts w:ascii="Times New Roman" w:eastAsia="Lucida Sans Unicode" w:hAnsi="Times New Roman" w:cs="Times New Roman"/>
          <w:noProof/>
          <w:kern w:val="3"/>
          <w:lang w:eastAsia="ru-RU"/>
        </w:rPr>
        <w:drawing>
          <wp:inline distT="0" distB="0" distL="0" distR="0" wp14:anchorId="76F7706D" wp14:editId="0DA10009">
            <wp:extent cx="691515" cy="882650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BB7">
        <w:rPr>
          <w:rFonts w:ascii="Times New Roman" w:eastAsia="Lucida Sans Unicode" w:hAnsi="Times New Roman" w:cs="Times New Roman"/>
          <w:kern w:val="3"/>
          <w:lang w:eastAsia="ru-RU" w:bidi="hi-IN"/>
        </w:rPr>
        <w:t xml:space="preserve">                                     </w:t>
      </w:r>
      <w:r w:rsidRPr="008B2BB7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  <w:t>проект</w:t>
      </w:r>
    </w:p>
    <w:p w:rsidR="008B2BB7" w:rsidRPr="008B2BB7" w:rsidRDefault="008B2BB7" w:rsidP="008B2B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lang w:eastAsia="ru-RU" w:bidi="hi-IN"/>
        </w:rPr>
      </w:pPr>
    </w:p>
    <w:p w:rsidR="008B2BB7" w:rsidRPr="008B2BB7" w:rsidRDefault="008B2BB7" w:rsidP="008B2B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8B2BB7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ru-RU" w:bidi="hi-IN"/>
        </w:rPr>
        <w:t>СЕЛЬСКИЙ СОВЕТ</w:t>
      </w:r>
    </w:p>
    <w:p w:rsidR="008B2BB7" w:rsidRPr="008B2BB7" w:rsidRDefault="008B2BB7" w:rsidP="008B2BB7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8B2BB7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ru-RU" w:bidi="hi-IN"/>
        </w:rPr>
        <w:t>БРЫКОВСКОГО МУНИЦИПАЛЬНОГО ОБРАЗОВАНИЯ</w:t>
      </w:r>
    </w:p>
    <w:p w:rsidR="008B2BB7" w:rsidRPr="008B2BB7" w:rsidRDefault="008B2BB7" w:rsidP="008B2BB7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8B2BB7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ru-RU" w:bidi="hi-IN"/>
        </w:rPr>
        <w:t>ДУХОВНИЦКОГО МУНИЦИПАЛЬНОГО РАЙОНА</w:t>
      </w:r>
    </w:p>
    <w:p w:rsidR="008B2BB7" w:rsidRPr="008B2BB7" w:rsidRDefault="008B2BB7" w:rsidP="008B2BB7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8B2BB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САРАТОВСКОЙ ОБЛАСТИ</w:t>
      </w:r>
    </w:p>
    <w:p w:rsidR="008B2BB7" w:rsidRPr="008B2BB7" w:rsidRDefault="008B2BB7" w:rsidP="008B2BB7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8B2BB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ПЯТОГО СОЗЫВА</w:t>
      </w:r>
    </w:p>
    <w:p w:rsidR="008B2BB7" w:rsidRPr="008B2BB7" w:rsidRDefault="008B2BB7" w:rsidP="008B2B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ru-RU" w:bidi="hi-IN"/>
        </w:rPr>
      </w:pPr>
    </w:p>
    <w:p w:rsidR="008B2BB7" w:rsidRPr="008B2BB7" w:rsidRDefault="008B2BB7" w:rsidP="008B2BB7">
      <w:pPr>
        <w:keepNext/>
        <w:widowControl w:val="0"/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lang w:eastAsia="ru-RU" w:bidi="hi-IN"/>
        </w:rPr>
      </w:pPr>
      <w:r w:rsidRPr="008B2BB7">
        <w:rPr>
          <w:rFonts w:ascii="Times New Roman" w:eastAsia="Times New Roman" w:hAnsi="Times New Roman" w:cs="Times New Roman"/>
          <w:b/>
          <w:bCs/>
          <w:kern w:val="3"/>
          <w:sz w:val="24"/>
          <w:lang w:eastAsia="ru-RU" w:bidi="hi-IN"/>
        </w:rPr>
        <w:t>РЕШЕНИЕ</w:t>
      </w:r>
    </w:p>
    <w:p w:rsidR="008B2BB7" w:rsidRPr="008B2BB7" w:rsidRDefault="008B2BB7" w:rsidP="008B2BB7">
      <w:pPr>
        <w:widowControl w:val="0"/>
        <w:tabs>
          <w:tab w:val="left" w:pos="8055"/>
        </w:tabs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</w:pPr>
      <w:r w:rsidRPr="008B2BB7">
        <w:rPr>
          <w:rFonts w:ascii="Times New Roman" w:eastAsia="Lucida Sans Unicode" w:hAnsi="Times New Roman" w:cs="Times New Roman"/>
          <w:kern w:val="3"/>
          <w:lang w:eastAsia="ru-RU" w:bidi="hi-IN"/>
        </w:rPr>
        <w:t xml:space="preserve">          </w:t>
      </w:r>
      <w:r w:rsidRPr="008B2BB7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  <w:t>от  __________ 2020 года                                                                    №____</w:t>
      </w:r>
    </w:p>
    <w:p w:rsidR="008B2BB7" w:rsidRPr="008B2BB7" w:rsidRDefault="008B2BB7" w:rsidP="008B2BB7">
      <w:pPr>
        <w:widowControl w:val="0"/>
        <w:tabs>
          <w:tab w:val="left" w:pos="8055"/>
        </w:tabs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lang w:eastAsia="ru-RU" w:bidi="hi-IN"/>
        </w:rPr>
      </w:pPr>
    </w:p>
    <w:p w:rsidR="008B2BB7" w:rsidRPr="008B2BB7" w:rsidRDefault="008B2BB7" w:rsidP="008B2BB7">
      <w:pPr>
        <w:widowControl w:val="0"/>
        <w:tabs>
          <w:tab w:val="left" w:pos="8055"/>
        </w:tabs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lang w:eastAsia="ru-RU" w:bidi="hi-IN"/>
        </w:rPr>
      </w:pPr>
      <w:r w:rsidRPr="008B2BB7">
        <w:rPr>
          <w:rFonts w:ascii="Times New Roman" w:eastAsia="Lucida Sans Unicode" w:hAnsi="Times New Roman" w:cs="Times New Roman"/>
          <w:b/>
          <w:kern w:val="3"/>
          <w:lang w:eastAsia="ru-RU" w:bidi="hi-IN"/>
        </w:rPr>
        <w:t>с. Брыковка</w:t>
      </w:r>
    </w:p>
    <w:p w:rsidR="008B2BB7" w:rsidRPr="008B2BB7" w:rsidRDefault="008B2BB7" w:rsidP="008B2BB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7"/>
          <w:szCs w:val="28"/>
          <w:lang w:eastAsia="ru-RU" w:bidi="ru-RU"/>
        </w:rPr>
      </w:pPr>
    </w:p>
    <w:p w:rsidR="008B2BB7" w:rsidRPr="008B2BB7" w:rsidRDefault="008B2BB7" w:rsidP="008B2BB7">
      <w:pPr>
        <w:widowControl w:val="0"/>
        <w:autoSpaceDE w:val="0"/>
        <w:autoSpaceDN w:val="0"/>
        <w:spacing w:after="0" w:line="320" w:lineRule="exact"/>
        <w:ind w:left="604" w:right="66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B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 внесении изменений в Правила</w:t>
      </w:r>
    </w:p>
    <w:p w:rsidR="008B2BB7" w:rsidRPr="008B2BB7" w:rsidRDefault="008B2BB7" w:rsidP="008B2BB7">
      <w:pPr>
        <w:widowControl w:val="0"/>
        <w:autoSpaceDE w:val="0"/>
        <w:autoSpaceDN w:val="0"/>
        <w:spacing w:after="0" w:line="320" w:lineRule="exact"/>
        <w:ind w:left="604" w:right="66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B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благоустройства и санитарного</w:t>
      </w:r>
    </w:p>
    <w:p w:rsidR="008B2BB7" w:rsidRPr="008B2BB7" w:rsidRDefault="008B2BB7" w:rsidP="008B2BB7">
      <w:pPr>
        <w:widowControl w:val="0"/>
        <w:autoSpaceDE w:val="0"/>
        <w:autoSpaceDN w:val="0"/>
        <w:spacing w:after="0" w:line="320" w:lineRule="exact"/>
        <w:ind w:left="604" w:right="66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B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содержания территории </w:t>
      </w:r>
      <w:proofErr w:type="spellStart"/>
      <w:r w:rsidRPr="008B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Брыковского</w:t>
      </w:r>
      <w:proofErr w:type="spellEnd"/>
    </w:p>
    <w:p w:rsidR="008B2BB7" w:rsidRPr="008B2BB7" w:rsidRDefault="008B2BB7" w:rsidP="008B2BB7">
      <w:pPr>
        <w:widowControl w:val="0"/>
        <w:autoSpaceDE w:val="0"/>
        <w:autoSpaceDN w:val="0"/>
        <w:spacing w:after="0" w:line="320" w:lineRule="exact"/>
        <w:ind w:left="604" w:right="66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B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муниципального образования</w:t>
      </w:r>
    </w:p>
    <w:p w:rsidR="008B2BB7" w:rsidRPr="008B2BB7" w:rsidRDefault="008B2BB7" w:rsidP="008B2B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  <w:lang w:eastAsia="ru-RU" w:bidi="ru-RU"/>
        </w:rPr>
      </w:pPr>
    </w:p>
    <w:p w:rsidR="008B2BB7" w:rsidRPr="008B2BB7" w:rsidRDefault="008B2BB7" w:rsidP="008B2B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color w:val="FF0000"/>
          <w:sz w:val="25"/>
          <w:szCs w:val="28"/>
          <w:lang w:eastAsia="ru-RU" w:bidi="ru-RU"/>
        </w:rPr>
      </w:pPr>
    </w:p>
    <w:p w:rsidR="008B2BB7" w:rsidRPr="008B2BB7" w:rsidRDefault="008B2BB7" w:rsidP="008B2BB7">
      <w:pPr>
        <w:widowControl w:val="0"/>
        <w:shd w:val="clear" w:color="auto" w:fill="FFFFFF"/>
        <w:autoSpaceDE w:val="0"/>
        <w:autoSpaceDN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B2B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В соответствии с  Федеральным  законом  от 6 октября 2003г. №131-ФЗ «Об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8B2B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общих принципах организации местного самоуправления в Российской Федерации»,</w:t>
      </w:r>
      <w:r w:rsidRPr="008B2BB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Приказом Минстроя России № 897/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lang w:eastAsia="ru-RU" w:bidi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 w:bidi="ru-RU"/>
        </w:rPr>
        <w:t>Минспорта</w:t>
      </w:r>
      <w:proofErr w:type="spellEnd"/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России № 1128 от 27.12.2019 «Об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инфраструктуры»</w:t>
      </w:r>
      <w:r w:rsidRPr="008B2BB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руководствуясь Уставом </w:t>
      </w:r>
      <w:proofErr w:type="spellStart"/>
      <w:r w:rsidRPr="008B2BB7">
        <w:rPr>
          <w:rFonts w:ascii="Times New Roman" w:eastAsia="Times New Roman" w:hAnsi="Times New Roman" w:cs="Times New Roman"/>
          <w:sz w:val="28"/>
          <w:lang w:eastAsia="ru-RU" w:bidi="ru-RU"/>
        </w:rPr>
        <w:t>Брыковского</w:t>
      </w:r>
      <w:proofErr w:type="spellEnd"/>
      <w:r w:rsidRPr="008B2BB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образования, сельский Совет </w:t>
      </w:r>
      <w:proofErr w:type="spellStart"/>
      <w:r w:rsidRPr="008B2BB7">
        <w:rPr>
          <w:rFonts w:ascii="Times New Roman" w:eastAsia="Times New Roman" w:hAnsi="Times New Roman" w:cs="Times New Roman"/>
          <w:sz w:val="28"/>
          <w:lang w:eastAsia="ru-RU" w:bidi="ru-RU"/>
        </w:rPr>
        <w:t>Брыковского</w:t>
      </w:r>
      <w:proofErr w:type="spellEnd"/>
      <w:r w:rsidRPr="008B2BB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образования </w:t>
      </w:r>
    </w:p>
    <w:p w:rsidR="008B2BB7" w:rsidRPr="008B2BB7" w:rsidRDefault="008B2BB7" w:rsidP="008B2BB7">
      <w:pPr>
        <w:widowControl w:val="0"/>
        <w:autoSpaceDE w:val="0"/>
        <w:autoSpaceDN w:val="0"/>
        <w:spacing w:after="0" w:line="235" w:lineRule="auto"/>
        <w:ind w:left="113" w:right="102" w:firstLine="701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8B2BB7" w:rsidRPr="008B2BB7" w:rsidRDefault="008B2BB7" w:rsidP="008B2BB7">
      <w:pPr>
        <w:widowControl w:val="0"/>
        <w:autoSpaceDE w:val="0"/>
        <w:autoSpaceDN w:val="0"/>
        <w:spacing w:after="0" w:line="235" w:lineRule="auto"/>
        <w:ind w:left="113" w:right="102" w:firstLine="701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8B2BB7">
        <w:rPr>
          <w:rFonts w:ascii="Times New Roman" w:eastAsia="Times New Roman" w:hAnsi="Times New Roman" w:cs="Times New Roman"/>
          <w:b/>
          <w:sz w:val="28"/>
          <w:lang w:eastAsia="ru-RU" w:bidi="ru-RU"/>
        </w:rPr>
        <w:t>РЕШИЛ:</w:t>
      </w:r>
    </w:p>
    <w:p w:rsidR="008B2BB7" w:rsidRPr="008B2BB7" w:rsidRDefault="008B2BB7" w:rsidP="008B2BB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8B2BB7" w:rsidRPr="008B2BB7" w:rsidRDefault="008B2BB7" w:rsidP="008B2BB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Arial"/>
          <w:kern w:val="3"/>
          <w:sz w:val="28"/>
          <w:szCs w:val="24"/>
          <w:lang w:eastAsia="zh-CN"/>
        </w:rPr>
      </w:pPr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Внести в Правила благоустройства и санитарного содержания территории </w:t>
      </w:r>
      <w:proofErr w:type="spellStart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>Брыковского</w:t>
      </w:r>
      <w:proofErr w:type="spellEnd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муниципального образования, </w:t>
      </w:r>
      <w:proofErr w:type="gramStart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>утвержденных</w:t>
      </w:r>
      <w:proofErr w:type="gramEnd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решением сельского Совета </w:t>
      </w:r>
      <w:proofErr w:type="spellStart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>Брыковского</w:t>
      </w:r>
      <w:proofErr w:type="spellEnd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муниципального образования от 14.11.2019 года № 24/50, следующие изменения:</w:t>
      </w:r>
    </w:p>
    <w:p w:rsidR="008B2BB7" w:rsidRDefault="008B2BB7" w:rsidP="008B2BB7">
      <w:pPr>
        <w:widowControl w:val="0"/>
        <w:suppressAutoHyphens/>
        <w:autoSpaceDN w:val="0"/>
        <w:spacing w:after="0" w:line="240" w:lineRule="auto"/>
        <w:ind w:left="1545"/>
        <w:jc w:val="both"/>
        <w:rPr>
          <w:rFonts w:ascii="Times New Roman" w:eastAsia="Calibri" w:hAnsi="Times New Roman" w:cs="Arial"/>
          <w:kern w:val="3"/>
          <w:sz w:val="28"/>
          <w:szCs w:val="24"/>
          <w:lang w:eastAsia="zh-CN"/>
        </w:rPr>
      </w:pPr>
      <w:r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- дополнить главу 1 Правил разделом 12 </w:t>
      </w:r>
      <w:r w:rsidRPr="00CE5601">
        <w:rPr>
          <w:rFonts w:ascii="Times New Roman" w:eastAsia="Calibri" w:hAnsi="Times New Roman" w:cs="Arial"/>
          <w:b/>
          <w:kern w:val="3"/>
          <w:sz w:val="28"/>
          <w:szCs w:val="24"/>
          <w:lang w:eastAsia="zh-CN"/>
        </w:rPr>
        <w:t>«Благоустройство общественных территорий средствами спортивной и детской игровой инфраструктуры»</w:t>
      </w:r>
      <w:r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следующего содержания:</w:t>
      </w:r>
    </w:p>
    <w:p w:rsidR="00F169C5" w:rsidRDefault="008B2BB7" w:rsidP="00EF3A68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          </w:t>
      </w:r>
      <w:r w:rsidR="00F169C5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   </w:t>
      </w:r>
      <w:r w:rsidR="007F42FE" w:rsidRPr="007F42FE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«</w:t>
      </w:r>
      <w:r w:rsidR="00F169C5" w:rsidRPr="00F169C5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12.1. Общие подходы по благоустройству территорий сре</w:t>
      </w:r>
      <w:bookmarkStart w:id="1" w:name="_GoBack"/>
      <w:bookmarkEnd w:id="1"/>
      <w:r w:rsidR="00F169C5" w:rsidRPr="00F169C5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дствами открытой плоскостной игр</w:t>
      </w:r>
      <w:r w:rsidR="00F169C5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овой и спортивной инфраструктуры</w:t>
      </w:r>
      <w:r w:rsidR="00EF3A68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.</w:t>
      </w:r>
    </w:p>
    <w:p w:rsidR="007F42FE" w:rsidRPr="007F42FE" w:rsidRDefault="00F169C5" w:rsidP="00EF3A6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12.1.1. 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территориях населенных пунктов, </w:t>
      </w:r>
      <w:proofErr w:type="gramStart"/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легко доступных</w:t>
      </w:r>
      <w:proofErr w:type="gramEnd"/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большого количества граждан, целесообразно размещать объекты с использованием открытой плоскостной детской игровой и спортивной 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инфраструктуры (далее - площадки), позволяющие использовать их с максимальной эффективностью, круглогодично.</w:t>
      </w:r>
    </w:p>
    <w:p w:rsidR="007F42FE" w:rsidRPr="007F42FE" w:rsidRDefault="00F169C5" w:rsidP="00EF3A6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1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1.2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Решения по вопросам благоустройства территорий рекомендуется принимать с учетом мнения жителей населенных пунктов. </w:t>
      </w:r>
      <w:proofErr w:type="gramStart"/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 этом в зависимости от особенностей проекта благоустройства привлечение жителей к решению вопросов о благоустройстве</w:t>
      </w:r>
      <w:proofErr w:type="gramEnd"/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территорий, разработке и реализации мероприятий по благоустройству может быть прямым или опосредованным через общественные организации, ассоциации и объединения предпринимателей, иных заинтересованных лиц. Органы местного самоуправления могут рекомендовать местным жителям инициировать проекты благоустройства, участвовать в голосовании, обсуждении таких проектов, в том числе с использованием электронных технологий, участвовать в реализации мероприятий и решений, а также иным образом принимать участие в решении вопросов, связанных с благоустройством территорий.</w:t>
      </w:r>
    </w:p>
    <w:p w:rsidR="007F42FE" w:rsidRPr="007F42FE" w:rsidRDefault="00F169C5" w:rsidP="00EF3A6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1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3.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Проектирование, строительство, реконструкцию, капитальный ремонт, содержание и эксплуатацию площадок различного функционального назначения рекомендуется осуществлять в соответствии с требованиями по охране и поддержанию здоровья человека, охраны исторической и природной среды.</w:t>
      </w:r>
    </w:p>
    <w:p w:rsidR="007F42FE" w:rsidRPr="007F42FE" w:rsidRDefault="00F169C5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12.1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4</w:t>
      </w:r>
      <w:r w:rsidR="007F42FE" w:rsidRPr="007F42FE">
        <w:rPr>
          <w:color w:val="222222"/>
          <w:sz w:val="28"/>
          <w:szCs w:val="28"/>
        </w:rPr>
        <w:t>. Планирование функционала и (или) функциональных зон площадок рекомендуется осуществлять с учетом: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а) площади земельного участка, предназначенного для размещения площадки и (или) реконструкции площадки;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б) предпочтений (выбора) жителей;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в) развития видов спорта в муниципальном образовании (популярность, возможность обеспечить методическую поддержку, организовать спортивные мероприятия);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г) экономических возможностей для реализации проектов по благоустройству;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е) природно-климатических условий;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ж) возраста, половозрастных характеристик населения прилегающей территории;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и) создания условий доступности площадок для всех категорий жителей;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к) структуры прилегающей жилой застройки.</w:t>
      </w:r>
    </w:p>
    <w:p w:rsidR="007F42FE" w:rsidRPr="007F42FE" w:rsidRDefault="00F169C5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1.</w:t>
      </w:r>
      <w:r w:rsidR="007F42FE" w:rsidRPr="007F42FE">
        <w:rPr>
          <w:color w:val="222222"/>
          <w:sz w:val="28"/>
          <w:szCs w:val="28"/>
        </w:rPr>
        <w:t>5. При планировании размеров площадок (функциональных зон площадок) рекомендуется учитывать: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а) размеры территории, на которой будет располагаться площадка;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б) функциональное предназначение и состав оборудования;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в) требования документов по безопасности площадок (зоны безопасности оборудования);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г) наличие других элементов благоустройства (разделение различных функциональных зон);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д) расположение подходов к площадке;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lastRenderedPageBreak/>
        <w:t>е) пропускную способность площадки.</w:t>
      </w:r>
    </w:p>
    <w:p w:rsidR="007F42FE" w:rsidRPr="007F42FE" w:rsidRDefault="00F169C5" w:rsidP="00EF3A6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12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7F42FE" w:rsidRPr="007F42FE" w:rsidRDefault="00F169C5" w:rsidP="00EF3A6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 обеспечения непрерывности развивающего воздействия рекомендуется комбинировать 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7F42FE" w:rsidRPr="007F42FE" w:rsidRDefault="00F169C5" w:rsidP="00EF3A6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12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.1.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7. 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Планирование и размещение элементов благоустройства площадок зависит от функциональной зоны площадки, численности и возрастных характеристик населения, ежедневно посещающего площадку, его предпочтений по видам спорта и физической активности.</w:t>
      </w:r>
    </w:p>
    <w:p w:rsidR="007F42FE" w:rsidRPr="007F42FE" w:rsidRDefault="00F169C5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="00887F4E">
        <w:rPr>
          <w:color w:val="222222"/>
          <w:sz w:val="28"/>
          <w:szCs w:val="28"/>
        </w:rPr>
        <w:t>1</w:t>
      </w:r>
      <w:r w:rsidR="007F42FE" w:rsidRPr="007F42FE">
        <w:rPr>
          <w:color w:val="222222"/>
          <w:sz w:val="28"/>
          <w:szCs w:val="28"/>
        </w:rPr>
        <w:t>2</w:t>
      </w:r>
      <w:r w:rsidR="00887F4E">
        <w:rPr>
          <w:color w:val="222222"/>
          <w:sz w:val="28"/>
          <w:szCs w:val="28"/>
        </w:rPr>
        <w:t>.1.8</w:t>
      </w:r>
      <w:r w:rsidR="007F42FE" w:rsidRPr="007F42FE">
        <w:rPr>
          <w:color w:val="222222"/>
          <w:sz w:val="28"/>
          <w:szCs w:val="28"/>
        </w:rPr>
        <w:t xml:space="preserve">. </w:t>
      </w:r>
      <w:r w:rsidR="00887F4E">
        <w:rPr>
          <w:color w:val="222222"/>
          <w:sz w:val="28"/>
          <w:szCs w:val="28"/>
        </w:rPr>
        <w:t xml:space="preserve"> </w:t>
      </w:r>
      <w:r w:rsidR="007F42FE" w:rsidRPr="007F42FE">
        <w:rPr>
          <w:color w:val="222222"/>
          <w:sz w:val="28"/>
          <w:szCs w:val="28"/>
        </w:rPr>
        <w:t>Перечень элементов благоустройства общественных территорий при создании функциональных зон площадок, как правило, включает: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>детское игровое, спортивно-игровое, спортивное оборудование, а также спортивно-игровое оборудование, предназначенное для совместных игр здоровых детей и детей с особенностями здоровья (далее - инклюзивное спортивно-игровое оборудование), и спортивное оборудование, предназначенное для занятий физкультурой и спортом взрослыми людьми с ограниченными возможностями здоровья (далее - инклюзивное спортивное оборудование);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>покрытие и элементы сопряжения поверхности площадки с газоном;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>зеленые насаждения, элементы ландшафтной архитектуры;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>осветительное оборудование;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>ограждение;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>иные элементы благоустройства, в том числе малые архитектурные формы (далее - МАФ), элементы уличной мебели.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9</w:t>
      </w:r>
      <w:r w:rsidR="007F42FE" w:rsidRPr="007F42FE">
        <w:rPr>
          <w:color w:val="222222"/>
          <w:sz w:val="28"/>
          <w:szCs w:val="28"/>
        </w:rPr>
        <w:t>. При выборе оборудования площадок целесообразно исходить из того, что его функциональным назначением являются игры, активный отдых, занятия физкультурой и спортом детей различных возрастов и взрослых, в том числе с особенностями здоровья. Для установки на детских игровых, детских спортивных и инклюзивных спортивно-игровых площадках рекомендуется выбирать многофункциональное оборудование, с элементами, выполняющими не только игровые или спортивные, но и развивающие и обучающие функции.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7F42FE">
        <w:rPr>
          <w:color w:val="222222"/>
          <w:sz w:val="28"/>
          <w:szCs w:val="28"/>
        </w:rPr>
        <w:t>В случае дефицита площадей и (или) финансовых возможностей при закупке оборудования рекомендуется отдавать приоритет созданию площадок с установкой детского игрового оборудования, предназначенного для использования детьми в возрасте до 7 лет, спортивно-игрового оборудования для использования детьми в возрасте от 7 до 12 лет, с включением развивающих элементов и элементов инклюзивного спортивно-игрового оборудования для де</w:t>
      </w:r>
      <w:r w:rsidR="003D2F84">
        <w:rPr>
          <w:color w:val="222222"/>
          <w:sz w:val="28"/>
          <w:szCs w:val="28"/>
        </w:rPr>
        <w:t>тей</w:t>
      </w:r>
      <w:proofErr w:type="gramEnd"/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12.1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10</w:t>
      </w:r>
      <w:r w:rsidR="007F42FE" w:rsidRPr="007F42FE">
        <w:rPr>
          <w:color w:val="222222"/>
          <w:sz w:val="28"/>
          <w:szCs w:val="28"/>
        </w:rPr>
        <w:t xml:space="preserve">. При выборе оборудования рекомендуется придерживаться современных российских и международных тенденций в области развития уличной детской игровой и спортивной инфраструктуры (в том числе по дизайну, </w:t>
      </w:r>
      <w:r w:rsidR="007F42FE" w:rsidRPr="007F42FE">
        <w:rPr>
          <w:color w:val="222222"/>
          <w:sz w:val="28"/>
          <w:szCs w:val="28"/>
        </w:rPr>
        <w:lastRenderedPageBreak/>
        <w:t>функциональному назначению и эксплуатационным свойствам оборудования), а также учитывать: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а) материалы, использованные при производстве, подходящие к климатическим и географическим условиям региона, их соответствие требованиям санитарных норм и правил;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б) устойчивость конструкций, надежную фиксацию, крепление оборудования к основанию площадки и между собой или обеспечение возможности перемещения конструкций в зависимости от условий расположения;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в) планируемое расположение, не создающее препятствий для пешеходов и МГН;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г) антивандальную защищенность от разрушения, устойчивость к механическим воздействиям пользователей, включая сознательную порчу оборудования, оклейку, нанесение надписей и изображений;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д) возможность всесезонной эксплуатации в течение времени, установленного в паспорте изделия, в том числе в конкретных климатических условиях, защиту от образования наледи и снежных заносов, обеспечение стока воды;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е) эргономичность конструкций (высоту и наклон спинки тренажеров, высоту перекладин и прочее);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ж) дизайн и расцветку в зависимости от вида площадки, специализации функциональной зоны площадки и предпочтений пользователей. Возможно использование тематического дизайна и расцветки. Рекомендуется стилистическое сочетание оборудования с другими МАФ и окружающей архитектурой;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з) удобство монтажа и эксплуатации;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и) возможность ремонта и (или) быстрой замены деталей и комплектующих оборудования с помощью универсальных инструментов;</w:t>
      </w:r>
    </w:p>
    <w:p w:rsidR="007F42FE" w:rsidRPr="007F42FE" w:rsidRDefault="007F42FE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F42FE">
        <w:rPr>
          <w:color w:val="222222"/>
          <w:sz w:val="28"/>
          <w:szCs w:val="28"/>
        </w:rPr>
        <w:t>к) удобство обслуживания, а также механизированной и ручной очистки территории рядом с площадками и под конструкциями.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11</w:t>
      </w:r>
      <w:r w:rsidR="007F42FE" w:rsidRPr="007F42FE">
        <w:rPr>
          <w:color w:val="222222"/>
          <w:sz w:val="28"/>
          <w:szCs w:val="28"/>
        </w:rPr>
        <w:t>. Не рекомендуется оснащать территории населенного пункта однотипным и однообразным, а также морально устаревшим в части дизайна и функционала оборудованием.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12</w:t>
      </w:r>
      <w:r w:rsidR="007F42FE" w:rsidRPr="007F42FE">
        <w:rPr>
          <w:color w:val="222222"/>
          <w:sz w:val="28"/>
          <w:szCs w:val="28"/>
        </w:rPr>
        <w:t>. Не рекомендуется размещать на общественных территориях населенного пункта объекты спортивной инфраструктуры, оборудование которых предназначено для занятий экстремальными видами спорта, связанными с опасностью для жизни и здоровья людей.</w:t>
      </w:r>
    </w:p>
    <w:p w:rsidR="007F42FE" w:rsidRPr="007F42FE" w:rsidRDefault="003D2F84" w:rsidP="00EF3A6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12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13.</w:t>
      </w:r>
      <w:r w:rsidR="007F42FE" w:rsidRPr="007F4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 поставке оборудования рекомендуется осуществить его проверку на соответствие сопровождаемой документации: паспорту изделия, предоставляемому на русском языке согласно ГОСТ 2.601-2013. "Межгосударственный стандарт "Единая система конструкторской документации. Эксплуатационные документы", сертификатами качества и соответствия, правилам эксплуатации.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14</w:t>
      </w:r>
      <w:r w:rsidR="007F42FE" w:rsidRPr="007F42FE">
        <w:rPr>
          <w:color w:val="222222"/>
          <w:sz w:val="28"/>
          <w:szCs w:val="28"/>
        </w:rPr>
        <w:t>. Рекомендуется обеспечить закупку таких горок, качелей, качалок, каруселей, канатных дорог, игровых комплексов (городков), которые имеют сертификат соответствия требованиям Технического регламента Евразийского экономического союза, принятого </w:t>
      </w:r>
      <w:hyperlink r:id="rId7" w:history="1">
        <w:r w:rsidR="007F42FE" w:rsidRPr="007F42FE">
          <w:rPr>
            <w:rStyle w:val="a6"/>
            <w:color w:val="1B6DFD"/>
            <w:sz w:val="28"/>
            <w:szCs w:val="28"/>
            <w:bdr w:val="none" w:sz="0" w:space="0" w:color="auto" w:frame="1"/>
          </w:rPr>
          <w:t>Решением Совета Евразийской экономической комиссии от 17 мая 2017 года N 21</w:t>
        </w:r>
      </w:hyperlink>
      <w:r w:rsidR="007F42FE" w:rsidRPr="007F42FE">
        <w:rPr>
          <w:color w:val="222222"/>
          <w:sz w:val="28"/>
          <w:szCs w:val="28"/>
        </w:rPr>
        <w:t xml:space="preserve"> "О безопасности оборудования для детских </w:t>
      </w:r>
      <w:r w:rsidR="007F42FE" w:rsidRPr="007F42FE">
        <w:rPr>
          <w:color w:val="222222"/>
          <w:sz w:val="28"/>
          <w:szCs w:val="28"/>
        </w:rPr>
        <w:lastRenderedPageBreak/>
        <w:t xml:space="preserve">игровых площадок" (далее - </w:t>
      </w:r>
      <w:proofErr w:type="gramStart"/>
      <w:r w:rsidR="007F42FE" w:rsidRPr="007F42FE">
        <w:rPr>
          <w:color w:val="222222"/>
          <w:sz w:val="28"/>
          <w:szCs w:val="28"/>
        </w:rPr>
        <w:t>ТР</w:t>
      </w:r>
      <w:proofErr w:type="gramEnd"/>
      <w:r w:rsidR="007F42FE" w:rsidRPr="007F42FE">
        <w:rPr>
          <w:color w:val="222222"/>
          <w:sz w:val="28"/>
          <w:szCs w:val="28"/>
        </w:rPr>
        <w:t xml:space="preserve"> ЕАЭС 042/2017), обязательным для исполнения на территории государств - участников Евразийского экономического союза.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 xml:space="preserve">Наличие декларирования соответствия требованиям Технического регламента </w:t>
      </w:r>
      <w:proofErr w:type="gramStart"/>
      <w:r w:rsidR="007F42FE" w:rsidRPr="007F42FE">
        <w:rPr>
          <w:color w:val="222222"/>
          <w:sz w:val="28"/>
          <w:szCs w:val="28"/>
        </w:rPr>
        <w:t>ТР</w:t>
      </w:r>
      <w:proofErr w:type="gramEnd"/>
      <w:r w:rsidR="007F42FE" w:rsidRPr="007F42FE">
        <w:rPr>
          <w:color w:val="222222"/>
          <w:sz w:val="28"/>
          <w:szCs w:val="28"/>
        </w:rPr>
        <w:t xml:space="preserve"> ЕАЭС 042/2017 рекомендуется предусмотреть в том числе при выборе песочниц, игровых домиков, лабиринтов.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>Рекомендуется предусмотреть наличие сертификатов соответствия требованиям национальных стандартов Российской Федерации (ГОСТ Р) у приобретаемого спортивного оборудования.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15</w:t>
      </w:r>
      <w:r w:rsidR="007F42FE" w:rsidRPr="007F42FE">
        <w:rPr>
          <w:color w:val="222222"/>
          <w:sz w:val="28"/>
          <w:szCs w:val="28"/>
        </w:rPr>
        <w:t xml:space="preserve">. </w:t>
      </w:r>
      <w:proofErr w:type="gramStart"/>
      <w:r w:rsidR="007F42FE" w:rsidRPr="007F42FE">
        <w:rPr>
          <w:color w:val="222222"/>
          <w:sz w:val="28"/>
          <w:szCs w:val="28"/>
        </w:rPr>
        <w:t>Не рекомендуется оснащать площадки оборудованием, произведенным с использованием материалов и (или) покрытия, оказывающих вредное воздействие на здоровье населения и окружающую среду в процессе эксплуатации, вызывающих термический ожог при контакте с кожей пользователя в климатических зонах с очень высокими или очень низкими температурами, относящихся к легковоспламеняющимся материалам или к чрезвычайно опасным по токсичности продуктам горения, а также материалам, свойства которых недостаточно</w:t>
      </w:r>
      <w:proofErr w:type="gramEnd"/>
      <w:r w:rsidR="007F42FE" w:rsidRPr="007F42FE">
        <w:rPr>
          <w:color w:val="222222"/>
          <w:sz w:val="28"/>
          <w:szCs w:val="28"/>
        </w:rPr>
        <w:t xml:space="preserve"> изучены.</w:t>
      </w:r>
    </w:p>
    <w:p w:rsidR="007F42FE" w:rsidRPr="007F42FE" w:rsidRDefault="003D2F84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16</w:t>
      </w:r>
      <w:r w:rsidR="007F42FE" w:rsidRPr="007F42FE">
        <w:rPr>
          <w:color w:val="222222"/>
          <w:sz w:val="28"/>
          <w:szCs w:val="28"/>
        </w:rPr>
        <w:t>. Установку оборудования рекомендуется осуществлять в соответствии с нормативами и нормами по монтажу оборудования, с использованием технического надзора производителя, согласно паспорту изделия и инструкцией по сборке оборудования.</w:t>
      </w:r>
    </w:p>
    <w:p w:rsidR="003D2F84" w:rsidRPr="009713E0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        </w:t>
      </w:r>
      <w:r w:rsidR="003D2F84" w:rsidRPr="009713E0">
        <w:rPr>
          <w:b/>
          <w:color w:val="222222"/>
          <w:sz w:val="28"/>
          <w:szCs w:val="28"/>
        </w:rPr>
        <w:t>12.2. Оснащение площадок покрытием и элементами сопряжения поверхности площадки с газоном</w:t>
      </w:r>
      <w:r w:rsidRPr="009713E0">
        <w:rPr>
          <w:b/>
          <w:color w:val="222222"/>
          <w:sz w:val="28"/>
          <w:szCs w:val="28"/>
        </w:rPr>
        <w:t>.</w:t>
      </w:r>
    </w:p>
    <w:p w:rsidR="007F42FE" w:rsidRPr="007F42FE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2</w:t>
      </w:r>
      <w:r w:rsidR="007F42FE" w:rsidRPr="007F42FE">
        <w:rPr>
          <w:color w:val="222222"/>
          <w:sz w:val="28"/>
          <w:szCs w:val="28"/>
        </w:rPr>
        <w:t xml:space="preserve">.1. Земельный участок, на котором планируется размещение площадки, рекомендуется предварительно выровнять, очистить от камней, корней и других мешающих предметов, при необходимости - снять лишние слои грунта и нанести </w:t>
      </w:r>
      <w:proofErr w:type="spellStart"/>
      <w:r w:rsidR="007F42FE" w:rsidRPr="007F42FE">
        <w:rPr>
          <w:color w:val="222222"/>
          <w:sz w:val="28"/>
          <w:szCs w:val="28"/>
        </w:rPr>
        <w:t>ударопоглощающее</w:t>
      </w:r>
      <w:proofErr w:type="spellEnd"/>
      <w:r w:rsidR="007F42FE" w:rsidRPr="007F42FE">
        <w:rPr>
          <w:color w:val="222222"/>
          <w:sz w:val="28"/>
          <w:szCs w:val="28"/>
        </w:rPr>
        <w:t xml:space="preserve"> покрытие.</w:t>
      </w:r>
    </w:p>
    <w:p w:rsidR="007F42FE" w:rsidRPr="007F42FE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2.2. </w:t>
      </w:r>
      <w:r w:rsidR="007F42FE" w:rsidRPr="007F42FE">
        <w:rPr>
          <w:color w:val="222222"/>
          <w:sz w:val="28"/>
          <w:szCs w:val="28"/>
        </w:rPr>
        <w:t xml:space="preserve">Устройство детских игровых, детских спортивных и инклюзивных площадок на каменном или бетонном покрытии не рекомендуется. При выборе покрытия детских игровых, детских спортивных и инклюзивных площадок рекомендуется отдать предпочтение покрытиям, обладающим амортизирующими свойствами, для предотвращения </w:t>
      </w:r>
      <w:proofErr w:type="spellStart"/>
      <w:r w:rsidR="007F42FE" w:rsidRPr="007F42FE">
        <w:rPr>
          <w:color w:val="222222"/>
          <w:sz w:val="28"/>
          <w:szCs w:val="28"/>
        </w:rPr>
        <w:t>травмирования</w:t>
      </w:r>
      <w:proofErr w:type="spellEnd"/>
      <w:r w:rsidR="007F42FE" w:rsidRPr="007F42FE">
        <w:rPr>
          <w:color w:val="222222"/>
          <w:sz w:val="28"/>
          <w:szCs w:val="28"/>
        </w:rPr>
        <w:t xml:space="preserve"> детей при падении.</w:t>
      </w:r>
    </w:p>
    <w:p w:rsidR="007F42FE" w:rsidRPr="007F42FE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      12</w:t>
      </w:r>
      <w:r w:rsidR="007F42FE" w:rsidRPr="007F42FE">
        <w:rPr>
          <w:color w:val="222222"/>
          <w:sz w:val="28"/>
          <w:szCs w:val="28"/>
          <w:shd w:val="clear" w:color="auto" w:fill="FFFFFF"/>
        </w:rPr>
        <w:t>.</w:t>
      </w:r>
      <w:r>
        <w:rPr>
          <w:color w:val="222222"/>
          <w:sz w:val="28"/>
          <w:szCs w:val="28"/>
          <w:shd w:val="clear" w:color="auto" w:fill="FFFFFF"/>
        </w:rPr>
        <w:t>2</w:t>
      </w:r>
      <w:r w:rsidR="007F42FE" w:rsidRPr="007F42FE">
        <w:rPr>
          <w:color w:val="222222"/>
          <w:sz w:val="28"/>
          <w:szCs w:val="28"/>
          <w:shd w:val="clear" w:color="auto" w:fill="FFFFFF"/>
        </w:rPr>
        <w:t>.</w:t>
      </w:r>
      <w:r>
        <w:rPr>
          <w:color w:val="222222"/>
          <w:sz w:val="28"/>
          <w:szCs w:val="28"/>
          <w:shd w:val="clear" w:color="auto" w:fill="FFFFFF"/>
        </w:rPr>
        <w:t>3</w:t>
      </w:r>
      <w:r w:rsidR="007F42FE" w:rsidRPr="007F42FE">
        <w:rPr>
          <w:color w:val="222222"/>
          <w:sz w:val="28"/>
          <w:szCs w:val="28"/>
          <w:shd w:val="clear" w:color="auto" w:fill="FFFFFF"/>
        </w:rPr>
        <w:t xml:space="preserve">. В зонах приземления и падения с оборудования и МАФ не рекомендуется использовать кирпич, бетон, битумные материалы, щебень, лесоматериалы, рыхлую почву или дерн. В целях снижения риска </w:t>
      </w:r>
      <w:proofErr w:type="spellStart"/>
      <w:r w:rsidR="007F42FE" w:rsidRPr="007F42FE">
        <w:rPr>
          <w:color w:val="222222"/>
          <w:sz w:val="28"/>
          <w:szCs w:val="28"/>
          <w:shd w:val="clear" w:color="auto" w:fill="FFFFFF"/>
        </w:rPr>
        <w:t>травмирования</w:t>
      </w:r>
      <w:proofErr w:type="spellEnd"/>
      <w:r w:rsidR="007F42FE" w:rsidRPr="007F42FE">
        <w:rPr>
          <w:color w:val="222222"/>
          <w:sz w:val="28"/>
          <w:szCs w:val="28"/>
          <w:shd w:val="clear" w:color="auto" w:fill="FFFFFF"/>
        </w:rPr>
        <w:t xml:space="preserve"> детей рекомендуется применять </w:t>
      </w:r>
      <w:proofErr w:type="spellStart"/>
      <w:r w:rsidR="007F42FE" w:rsidRPr="007F42FE">
        <w:rPr>
          <w:color w:val="222222"/>
          <w:sz w:val="28"/>
          <w:szCs w:val="28"/>
          <w:shd w:val="clear" w:color="auto" w:fill="FFFFFF"/>
        </w:rPr>
        <w:t>ударопоглощающее</w:t>
      </w:r>
      <w:proofErr w:type="spellEnd"/>
      <w:r w:rsidR="007F42FE" w:rsidRPr="007F42FE">
        <w:rPr>
          <w:color w:val="222222"/>
          <w:sz w:val="28"/>
          <w:szCs w:val="28"/>
          <w:shd w:val="clear" w:color="auto" w:fill="FFFFFF"/>
        </w:rPr>
        <w:t xml:space="preserve"> (мягкое) покрытие: песчаное, уплотненное песчаное на грунтовом основании или гравийной крошке, дерновое, из дробленой древесины, мягкое резиновое, мягкое синтетическое.</w:t>
      </w:r>
    </w:p>
    <w:p w:rsidR="007F42FE" w:rsidRPr="007F42FE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>При использовании в зонах приземления и падения сыпучих материалов (песка) толщину песчаной подушки рекомендуется предусматривать от 200 мм до 300 мм (с увеличением на 100 мм для компенсации вытеснения материала при эксплуатации) в течение всего срока эксплуатации площадки.</w:t>
      </w:r>
    </w:p>
    <w:p w:rsidR="007F42FE" w:rsidRPr="007F42FE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4</w:t>
      </w:r>
      <w:r w:rsidR="007F42FE" w:rsidRPr="007F42FE">
        <w:rPr>
          <w:color w:val="222222"/>
          <w:sz w:val="28"/>
          <w:szCs w:val="28"/>
        </w:rPr>
        <w:t xml:space="preserve">. Твердыми видами покрытия или фундаментом рекомендуется оборудовать места установки скамеек. Некоторые виды оборудования и МАФ для придания устойчивости требуется оборудовать фундаментом или отдельным </w:t>
      </w:r>
      <w:r w:rsidR="007F42FE" w:rsidRPr="007F42FE">
        <w:rPr>
          <w:color w:val="222222"/>
          <w:sz w:val="28"/>
          <w:szCs w:val="28"/>
        </w:rPr>
        <w:lastRenderedPageBreak/>
        <w:t xml:space="preserve">основанием, что рекомендуется учитывать при определении толщины </w:t>
      </w:r>
      <w:proofErr w:type="spellStart"/>
      <w:r w:rsidR="007F42FE" w:rsidRPr="007F42FE">
        <w:rPr>
          <w:color w:val="222222"/>
          <w:sz w:val="28"/>
          <w:szCs w:val="28"/>
        </w:rPr>
        <w:t>ударопоглощающего</w:t>
      </w:r>
      <w:proofErr w:type="spellEnd"/>
      <w:r w:rsidR="007F42FE" w:rsidRPr="007F42FE">
        <w:rPr>
          <w:color w:val="222222"/>
          <w:sz w:val="28"/>
          <w:szCs w:val="28"/>
        </w:rPr>
        <w:t xml:space="preserve"> покрытия.</w:t>
      </w:r>
    </w:p>
    <w:p w:rsidR="007F42FE" w:rsidRPr="007F42FE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5.</w:t>
      </w:r>
      <w:r w:rsidR="007F42FE" w:rsidRPr="007F42FE">
        <w:rPr>
          <w:color w:val="222222"/>
          <w:sz w:val="28"/>
          <w:szCs w:val="28"/>
        </w:rPr>
        <w:t xml:space="preserve"> Для сопряжения поверхностей площадки и газона рекомендуется применять садовые бортовые камни со скошенными или закругленными краями.</w:t>
      </w:r>
    </w:p>
    <w:p w:rsidR="009713E0" w:rsidRPr="009713E0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Pr="009713E0">
        <w:rPr>
          <w:b/>
          <w:color w:val="222222"/>
          <w:sz w:val="28"/>
          <w:szCs w:val="28"/>
        </w:rPr>
        <w:t>12.3.</w:t>
      </w:r>
      <w:r>
        <w:rPr>
          <w:b/>
          <w:color w:val="222222"/>
          <w:sz w:val="28"/>
          <w:szCs w:val="28"/>
        </w:rPr>
        <w:t xml:space="preserve"> Озеленение и освещение площадок.</w:t>
      </w:r>
    </w:p>
    <w:p w:rsidR="007F42FE" w:rsidRPr="007F42FE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12.3.1. </w:t>
      </w:r>
      <w:r w:rsidR="007F42FE" w:rsidRPr="007F42FE">
        <w:rPr>
          <w:color w:val="222222"/>
          <w:sz w:val="28"/>
          <w:szCs w:val="28"/>
        </w:rPr>
        <w:t>Площадки, предназначенные для детей, рекомендуется отделять с помощью зеленых насаждений от соседствующих площадок, предназначенных для взрослого населения.</w:t>
      </w:r>
    </w:p>
    <w:p w:rsidR="007F42FE" w:rsidRPr="007F42FE" w:rsidRDefault="009713E0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7F42FE" w:rsidRPr="007F42FE">
        <w:rPr>
          <w:color w:val="222222"/>
          <w:sz w:val="28"/>
          <w:szCs w:val="28"/>
        </w:rPr>
        <w:t>Также с помощью зеленых насаждений рекомендуется разделять различные функциональные зоны площадок.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.2. Площадки рекомендуется озеленять посадками быстрорастущими породами деревьев и кустарников с учетом их инсоляции в течение 5 часов светового дня.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.3. Деревья с восточной и северной стороны площадки рекомендуется высаживать на расстоянии не менее 3 м, а с южной и западной - не менее 1 м от границы площадки до оси дерева. Для спортивных площадок деревья рекомендуется высаживать на расстоянии не менее 2 м от границы площадки до оси дерева.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.4. Рекомендуется обеспечивать достаточную высоту растений над пешеходными дорожками, оборудованием, навесами.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.5. На площадках, предназначенных для детей в возрасте до 7 лет, инклюзивных площадках рекомендуется не допускать применение колючих видов растений.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.6. На всех видах площадок, предусматривающих нахождение детей в возрасте до 14 лет, рекомендуется не допускать применение растений с ядовитыми плодами.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.7. На площадках, предполагающих занятие физкультурой и спортом, не рекомендуется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.8. Рекомендуется учитывать, что зеленые насаждения с их цветовыми и обонятельными характеристиками являются ориентиром для людей с нарушением зрения.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.9. Функционирование осветительного оборудования площадок рекомендуется организовывать в режиме освещения территории населенного пункта, в котором расположена площадка.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.10. Рекомендуется не допускать размещение осветительного оборудования площадок на высоте менее 2,5 м.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.11. Рекомендуется применять осветительные элементы, обладающие антивандальными свойствами.</w:t>
      </w:r>
    </w:p>
    <w:p w:rsidR="007F42FE" w:rsidRPr="007F42FE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3</w:t>
      </w:r>
      <w:r w:rsidR="007F42FE" w:rsidRPr="007F42FE">
        <w:rPr>
          <w:color w:val="222222"/>
          <w:sz w:val="28"/>
          <w:szCs w:val="28"/>
        </w:rPr>
        <w:t>.12. Освещение площадок (функциональных зон), предназначенных для занятий игровыми видами спорта, рекомендуется осуществлять в соответствии с требованиями к освещению, предъявляемыми в зависимости от вида спорта, для которого организовывается площадка.</w:t>
      </w:r>
    </w:p>
    <w:p w:rsidR="005D3C1C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</w:t>
      </w:r>
    </w:p>
    <w:p w:rsidR="005D3C1C" w:rsidRPr="005D3C1C" w:rsidRDefault="005D3C1C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          </w:t>
      </w:r>
      <w:r w:rsidR="00EF3A68">
        <w:rPr>
          <w:color w:val="222222"/>
          <w:sz w:val="28"/>
          <w:szCs w:val="28"/>
        </w:rPr>
        <w:t xml:space="preserve"> </w:t>
      </w:r>
      <w:r w:rsidRPr="005D3C1C">
        <w:rPr>
          <w:b/>
          <w:color w:val="222222"/>
          <w:sz w:val="28"/>
          <w:szCs w:val="28"/>
        </w:rPr>
        <w:t>12.4.</w:t>
      </w:r>
      <w:r>
        <w:rPr>
          <w:b/>
          <w:color w:val="222222"/>
          <w:sz w:val="28"/>
          <w:szCs w:val="28"/>
        </w:rPr>
        <w:t xml:space="preserve"> </w:t>
      </w:r>
      <w:r w:rsidR="00EF3A68">
        <w:rPr>
          <w:b/>
          <w:color w:val="222222"/>
          <w:sz w:val="28"/>
          <w:szCs w:val="28"/>
        </w:rPr>
        <w:t>Ограждения площадок.</w:t>
      </w:r>
    </w:p>
    <w:p w:rsidR="007F42FE" w:rsidRPr="007F42FE" w:rsidRDefault="00EF3A68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12.4.1. </w:t>
      </w:r>
      <w:r w:rsidR="007F42FE" w:rsidRPr="007F42FE">
        <w:rPr>
          <w:color w:val="222222"/>
          <w:sz w:val="28"/>
          <w:szCs w:val="28"/>
        </w:rPr>
        <w:t>При необходимости установки ограждения площадки выбор варианта ограждения площадки рекомендуется осуществлять в зависимости от вида и специализации площадки (функциональной зоны площадки), экономических возможностей и предпочтений потребителей.</w:t>
      </w:r>
    </w:p>
    <w:p w:rsidR="007F42FE" w:rsidRPr="007F42FE" w:rsidRDefault="00EF3A68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12.4.2. </w:t>
      </w:r>
      <w:r w:rsidR="007F42FE" w:rsidRPr="007F42FE">
        <w:rPr>
          <w:color w:val="222222"/>
          <w:sz w:val="28"/>
          <w:szCs w:val="28"/>
        </w:rPr>
        <w:t>Ограждение площадок рекомендуется проектировать с использованием изгородей, элементов дизайна, ландшафтной архитектуры, вертикального озеленения, с учетом требований по безопасности.</w:t>
      </w:r>
    </w:p>
    <w:p w:rsidR="007F42FE" w:rsidRPr="007F42FE" w:rsidRDefault="00EF3A68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12.4.3. </w:t>
      </w:r>
      <w:r w:rsidR="007F42FE" w:rsidRPr="007F42FE">
        <w:rPr>
          <w:color w:val="222222"/>
          <w:sz w:val="28"/>
          <w:szCs w:val="28"/>
        </w:rPr>
        <w:t>Для ограждения спортивных площадок, спортивных комплексов для занятий активными видами спорта и общественно-спортивных кластеров могут также использоваться деревянные павильоны, баннеры и панели, уличная мебель, являющаяся элементом площадки.</w:t>
      </w:r>
    </w:p>
    <w:p w:rsidR="007F42FE" w:rsidRDefault="00EF3A68" w:rsidP="00EF3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 xml:space="preserve">           12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4</w:t>
      </w:r>
      <w:r w:rsidR="007F42FE" w:rsidRPr="007F42FE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>4</w:t>
      </w:r>
      <w:r w:rsidR="007F42FE" w:rsidRPr="007F42FE">
        <w:rPr>
          <w:color w:val="222222"/>
          <w:sz w:val="28"/>
          <w:szCs w:val="28"/>
        </w:rPr>
        <w:t xml:space="preserve">. Не рекомендуется использовать в ограждении площадок сетку </w:t>
      </w:r>
      <w:proofErr w:type="spellStart"/>
      <w:r w:rsidR="007F42FE" w:rsidRPr="007F42FE">
        <w:rPr>
          <w:color w:val="222222"/>
          <w:sz w:val="28"/>
          <w:szCs w:val="28"/>
        </w:rPr>
        <w:t>рабицу</w:t>
      </w:r>
      <w:proofErr w:type="spellEnd"/>
      <w:r w:rsidR="007F42FE" w:rsidRPr="007F42FE">
        <w:rPr>
          <w:color w:val="222222"/>
          <w:sz w:val="28"/>
          <w:szCs w:val="28"/>
        </w:rPr>
        <w:t>, сварные секционные трехмерные ограждения в силу их низких ударопрочных свойств и повышенной шумности, а также любые виды ограждения с заостренными элементами</w:t>
      </w:r>
      <w:r>
        <w:rPr>
          <w:color w:val="222222"/>
          <w:sz w:val="28"/>
          <w:szCs w:val="28"/>
        </w:rPr>
        <w:t>»</w:t>
      </w:r>
      <w:r w:rsidR="007F42FE" w:rsidRPr="007F42FE">
        <w:rPr>
          <w:color w:val="222222"/>
          <w:sz w:val="28"/>
          <w:szCs w:val="28"/>
        </w:rPr>
        <w:t>.</w:t>
      </w:r>
    </w:p>
    <w:p w:rsidR="008B2BB7" w:rsidRPr="008B2BB7" w:rsidRDefault="008B2BB7" w:rsidP="00EF3A6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Arial"/>
          <w:kern w:val="3"/>
          <w:sz w:val="28"/>
          <w:szCs w:val="24"/>
          <w:lang w:eastAsia="zh-CN"/>
        </w:rPr>
      </w:pPr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 </w:t>
      </w:r>
    </w:p>
    <w:p w:rsidR="008B2BB7" w:rsidRPr="008B2BB7" w:rsidRDefault="008B2BB7" w:rsidP="008B2BB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Arial"/>
          <w:kern w:val="3"/>
          <w:sz w:val="28"/>
          <w:szCs w:val="24"/>
          <w:lang w:eastAsia="zh-CN"/>
        </w:rPr>
      </w:pPr>
      <w:proofErr w:type="gramStart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>Разместить решение</w:t>
      </w:r>
      <w:proofErr w:type="gramEnd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на официальном сайте администрации </w:t>
      </w:r>
      <w:proofErr w:type="spellStart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>Брыковского</w:t>
      </w:r>
      <w:proofErr w:type="spellEnd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муниципального образования Духовницкого муниципального района в сети Интернет.</w:t>
      </w:r>
    </w:p>
    <w:p w:rsidR="008B2BB7" w:rsidRPr="008B2BB7" w:rsidRDefault="008B2BB7" w:rsidP="008B2BB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Arial"/>
          <w:kern w:val="3"/>
          <w:sz w:val="28"/>
          <w:szCs w:val="24"/>
          <w:lang w:eastAsia="zh-CN"/>
        </w:rPr>
      </w:pPr>
      <w:proofErr w:type="gramStart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>Контроль за</w:t>
      </w:r>
      <w:proofErr w:type="gramEnd"/>
      <w:r w:rsidRPr="008B2BB7">
        <w:rPr>
          <w:rFonts w:ascii="Times New Roman" w:eastAsia="Calibri" w:hAnsi="Times New Roman" w:cs="Arial"/>
          <w:kern w:val="3"/>
          <w:sz w:val="28"/>
          <w:szCs w:val="24"/>
          <w:lang w:eastAsia="zh-CN"/>
        </w:rPr>
        <w:t xml:space="preserve"> исполнением настоящего решения оставляю за собой.</w:t>
      </w:r>
    </w:p>
    <w:p w:rsidR="008B2BB7" w:rsidRPr="008B2BB7" w:rsidRDefault="008B2BB7" w:rsidP="008B2B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8B2BB7" w:rsidRPr="008B2BB7" w:rsidRDefault="008B2BB7" w:rsidP="008B2B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8B2BB7" w:rsidRPr="008B2BB7" w:rsidRDefault="008B2BB7" w:rsidP="008B2BB7">
      <w:pPr>
        <w:widowControl w:val="0"/>
        <w:autoSpaceDE w:val="0"/>
        <w:autoSpaceDN w:val="0"/>
        <w:spacing w:before="251" w:after="0" w:line="319" w:lineRule="exact"/>
        <w:ind w:left="113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8B2BB7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        Глава                                                                                     </w:t>
      </w:r>
      <w:proofErr w:type="spellStart"/>
      <w:r w:rsidRPr="008B2BB7">
        <w:rPr>
          <w:rFonts w:ascii="Times New Roman" w:eastAsia="Times New Roman" w:hAnsi="Times New Roman" w:cs="Times New Roman"/>
          <w:b/>
          <w:sz w:val="28"/>
          <w:lang w:eastAsia="ru-RU" w:bidi="ru-RU"/>
        </w:rPr>
        <w:t>Л.В.Мальцева</w:t>
      </w:r>
      <w:proofErr w:type="spellEnd"/>
    </w:p>
    <w:p w:rsidR="008B2BB7" w:rsidRPr="008B2BB7" w:rsidRDefault="008B2BB7" w:rsidP="008B2BB7">
      <w:pPr>
        <w:widowControl w:val="0"/>
        <w:tabs>
          <w:tab w:val="left" w:pos="7559"/>
        </w:tabs>
        <w:autoSpaceDE w:val="0"/>
        <w:autoSpaceDN w:val="0"/>
        <w:spacing w:after="0" w:line="319" w:lineRule="exact"/>
        <w:ind w:left="113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8B2BB7">
        <w:rPr>
          <w:rFonts w:ascii="Times New Roman" w:eastAsia="Times New Roman" w:hAnsi="Times New Roman" w:cs="Times New Roman"/>
          <w:sz w:val="28"/>
          <w:lang w:eastAsia="ru-RU" w:bidi="ru-RU"/>
        </w:rPr>
        <w:tab/>
      </w:r>
    </w:p>
    <w:p w:rsidR="0039663A" w:rsidRDefault="0039663A"/>
    <w:sectPr w:rsidR="0039663A" w:rsidSect="008B2B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5C11"/>
    <w:multiLevelType w:val="hybridMultilevel"/>
    <w:tmpl w:val="9C98F230"/>
    <w:lvl w:ilvl="0" w:tplc="B8E819AA">
      <w:start w:val="1"/>
      <w:numFmt w:val="decimal"/>
      <w:lvlText w:val="%1."/>
      <w:lvlJc w:val="left"/>
      <w:pPr>
        <w:ind w:left="109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0E0B7D0">
      <w:numFmt w:val="bullet"/>
      <w:lvlText w:val="•"/>
      <w:lvlJc w:val="left"/>
      <w:pPr>
        <w:ind w:left="2034" w:hanging="280"/>
      </w:pPr>
      <w:rPr>
        <w:rFonts w:hint="default"/>
        <w:lang w:val="ru-RU" w:eastAsia="ru-RU" w:bidi="ru-RU"/>
      </w:rPr>
    </w:lvl>
    <w:lvl w:ilvl="2" w:tplc="2F346942">
      <w:numFmt w:val="bullet"/>
      <w:lvlText w:val="•"/>
      <w:lvlJc w:val="left"/>
      <w:pPr>
        <w:ind w:left="2968" w:hanging="280"/>
      </w:pPr>
      <w:rPr>
        <w:rFonts w:hint="default"/>
        <w:lang w:val="ru-RU" w:eastAsia="ru-RU" w:bidi="ru-RU"/>
      </w:rPr>
    </w:lvl>
    <w:lvl w:ilvl="3" w:tplc="60007E62">
      <w:numFmt w:val="bullet"/>
      <w:lvlText w:val="•"/>
      <w:lvlJc w:val="left"/>
      <w:pPr>
        <w:ind w:left="3902" w:hanging="280"/>
      </w:pPr>
      <w:rPr>
        <w:rFonts w:hint="default"/>
        <w:lang w:val="ru-RU" w:eastAsia="ru-RU" w:bidi="ru-RU"/>
      </w:rPr>
    </w:lvl>
    <w:lvl w:ilvl="4" w:tplc="D5B669C8">
      <w:numFmt w:val="bullet"/>
      <w:lvlText w:val="•"/>
      <w:lvlJc w:val="left"/>
      <w:pPr>
        <w:ind w:left="4836" w:hanging="280"/>
      </w:pPr>
      <w:rPr>
        <w:rFonts w:hint="default"/>
        <w:lang w:val="ru-RU" w:eastAsia="ru-RU" w:bidi="ru-RU"/>
      </w:rPr>
    </w:lvl>
    <w:lvl w:ilvl="5" w:tplc="ABE61B1C">
      <w:numFmt w:val="bullet"/>
      <w:lvlText w:val="•"/>
      <w:lvlJc w:val="left"/>
      <w:pPr>
        <w:ind w:left="5770" w:hanging="280"/>
      </w:pPr>
      <w:rPr>
        <w:rFonts w:hint="default"/>
        <w:lang w:val="ru-RU" w:eastAsia="ru-RU" w:bidi="ru-RU"/>
      </w:rPr>
    </w:lvl>
    <w:lvl w:ilvl="6" w:tplc="443AC1A4">
      <w:numFmt w:val="bullet"/>
      <w:lvlText w:val="•"/>
      <w:lvlJc w:val="left"/>
      <w:pPr>
        <w:ind w:left="6704" w:hanging="280"/>
      </w:pPr>
      <w:rPr>
        <w:rFonts w:hint="default"/>
        <w:lang w:val="ru-RU" w:eastAsia="ru-RU" w:bidi="ru-RU"/>
      </w:rPr>
    </w:lvl>
    <w:lvl w:ilvl="7" w:tplc="23D63D12">
      <w:numFmt w:val="bullet"/>
      <w:lvlText w:val="•"/>
      <w:lvlJc w:val="left"/>
      <w:pPr>
        <w:ind w:left="7638" w:hanging="280"/>
      </w:pPr>
      <w:rPr>
        <w:rFonts w:hint="default"/>
        <w:lang w:val="ru-RU" w:eastAsia="ru-RU" w:bidi="ru-RU"/>
      </w:rPr>
    </w:lvl>
    <w:lvl w:ilvl="8" w:tplc="4154BEF2">
      <w:numFmt w:val="bullet"/>
      <w:lvlText w:val="•"/>
      <w:lvlJc w:val="left"/>
      <w:pPr>
        <w:ind w:left="8572" w:hanging="280"/>
      </w:pPr>
      <w:rPr>
        <w:rFonts w:hint="default"/>
        <w:lang w:val="ru-RU" w:eastAsia="ru-RU" w:bidi="ru-RU"/>
      </w:rPr>
    </w:lvl>
  </w:abstractNum>
  <w:abstractNum w:abstractNumId="1">
    <w:nsid w:val="795C097B"/>
    <w:multiLevelType w:val="multilevel"/>
    <w:tmpl w:val="E4866D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5B"/>
    <w:rsid w:val="0039663A"/>
    <w:rsid w:val="003D2F84"/>
    <w:rsid w:val="005D3C1C"/>
    <w:rsid w:val="007F42FE"/>
    <w:rsid w:val="00887F4E"/>
    <w:rsid w:val="008B2BB7"/>
    <w:rsid w:val="009713E0"/>
    <w:rsid w:val="00BC1F5B"/>
    <w:rsid w:val="00CE5601"/>
    <w:rsid w:val="00EF3A68"/>
    <w:rsid w:val="00F1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B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F42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B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F4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laws.ru/acts/Reshenie-Soveta-Evraziyskoy-ekonomicheskoy-komissii-ot-17.05.2017-N-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2020-03-20T10:34:00Z</cp:lastPrinted>
  <dcterms:created xsi:type="dcterms:W3CDTF">2020-03-20T07:34:00Z</dcterms:created>
  <dcterms:modified xsi:type="dcterms:W3CDTF">2020-03-20T10:36:00Z</dcterms:modified>
</cp:coreProperties>
</file>