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D4" w:rsidRDefault="00AC35D4" w:rsidP="00AC35D4">
      <w:pPr>
        <w:suppressAutoHyphens/>
        <w:spacing w:before="1332" w:after="0" w:line="300" w:lineRule="exact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  <w:t xml:space="preserve">                                           </w:t>
      </w:r>
      <w:r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5D4" w:rsidRDefault="00AC35D4" w:rsidP="00AC35D4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>АДМИНИСТРАЦИЯ</w:t>
      </w:r>
    </w:p>
    <w:p w:rsidR="00AC35D4" w:rsidRDefault="00AC35D4" w:rsidP="00AC35D4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  <w:t>БРЫКОВСКОГО МУНИЦИПАЛЬНОГО ОБРАЗОВАНИЯ  ДУХОВНИЦКОГО МУНИЦИПАЛЬНОГО РАЙОНА САРАТОВСКОЙ ОБЛАСТИ</w:t>
      </w:r>
    </w:p>
    <w:p w:rsidR="00AC35D4" w:rsidRDefault="00AC35D4" w:rsidP="00AC35D4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  <w:t>ПОСТАНОВЛЕНИЕ</w:t>
      </w:r>
    </w:p>
    <w:p w:rsidR="00AC35D4" w:rsidRDefault="00AC35D4" w:rsidP="00AC35D4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AC35D4" w:rsidTr="00AC35D4">
        <w:trPr>
          <w:cantSplit/>
        </w:trPr>
        <w:tc>
          <w:tcPr>
            <w:tcW w:w="8575" w:type="dxa"/>
          </w:tcPr>
          <w:p w:rsidR="00AC35D4" w:rsidRDefault="00AC35D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от 18.10.2017 года                                                 № </w:t>
            </w:r>
            <w:r w:rsidR="0032577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35</w:t>
            </w:r>
          </w:p>
          <w:p w:rsidR="00AC35D4" w:rsidRDefault="00AC35D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AC35D4" w:rsidRDefault="00AC35D4" w:rsidP="00AC35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35D4" w:rsidRDefault="00AC35D4" w:rsidP="00AC35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eastAsia="ar-SA"/>
        </w:rPr>
        <w:t>С.Брыковка</w:t>
      </w:r>
      <w:proofErr w:type="spellEnd"/>
    </w:p>
    <w:p w:rsidR="00AC35D4" w:rsidRDefault="00AC35D4" w:rsidP="00AC35D4">
      <w:pPr>
        <w:keepNext/>
        <w:suppressAutoHyphens/>
        <w:spacing w:after="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32"/>
          <w:lang w:eastAsia="ar-SA"/>
        </w:rPr>
      </w:pPr>
    </w:p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внесении изменений и дополнений в постановление</w:t>
      </w:r>
    </w:p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Брыковскогомуниципального</w:t>
      </w:r>
      <w:proofErr w:type="spellEnd"/>
    </w:p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образования от 24.12.2015 г. № 108</w:t>
      </w:r>
    </w:p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 утверждении муниципальной программы</w:t>
      </w:r>
    </w:p>
    <w:p w:rsidR="00AC35D4" w:rsidRDefault="00AC35D4" w:rsidP="00AC35D4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«Энергосбережение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Брыковском</w:t>
      </w:r>
      <w:proofErr w:type="spellEnd"/>
    </w:p>
    <w:p w:rsidR="00AC35D4" w:rsidRDefault="00AC35D4" w:rsidP="00AC35D4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муниципальном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образовании</w:t>
      </w:r>
      <w:proofErr w:type="gramEnd"/>
    </w:p>
    <w:p w:rsidR="00AC35D4" w:rsidRDefault="00AC35D4" w:rsidP="00AC35D4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Духовницкого муниципального района</w:t>
      </w:r>
    </w:p>
    <w:p w:rsidR="00AC35D4" w:rsidRDefault="00AC35D4" w:rsidP="00AC35D4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на 2016-2018 годы»</w:t>
      </w:r>
    </w:p>
    <w:bookmarkEnd w:id="0"/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35D4" w:rsidRDefault="00AC35D4" w:rsidP="00AC3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соответствии с Федеральным законом от 23.11.2009 г №261-ФЗ «Об энергоснабжении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06.10.2003 г. №131-ФЗ «Об общих принципах организации местного самоуправления в РФ», энергетической стратегией России до 2020 года, утвержденной распоряжением Правительства Российской Федерации от 28.08.2003 г №1234Р;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Распоряжением Правительства Саратовской области от 12 февраля 2010 года №35 «О подготовке долгосрочной областной целевой программы «Энергосбережение и повышение энергетической эффективности в Саратовской области на период до 2020 года»,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 Духовницкого муниципального района</w:t>
      </w:r>
    </w:p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AC35D4" w:rsidRDefault="00AC35D4" w:rsidP="00AC3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AC35D4" w:rsidRDefault="00AC35D4" w:rsidP="00AC3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 Внести в муниципальную программу «Энергосбережение 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муниципальном образовании на 2016-2018 годы», утвержденную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 от 24.12.2015 г. № 108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с изменениями от 25.02.2016 г. №13) следующие изменения и дополнения:</w:t>
      </w:r>
    </w:p>
    <w:p w:rsidR="000A4C58" w:rsidRDefault="00AC35D4" w:rsidP="00AC35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      1.1.</w:t>
      </w:r>
      <w:r w:rsidR="0064621A" w:rsidRPr="0064621A">
        <w:rPr>
          <w:sz w:val="28"/>
          <w:szCs w:val="28"/>
        </w:rPr>
        <w:t xml:space="preserve"> </w:t>
      </w:r>
      <w:r w:rsidR="0064621A" w:rsidRPr="0064621A">
        <w:rPr>
          <w:rFonts w:ascii="Times New Roman" w:hAnsi="Times New Roman" w:cs="Times New Roman"/>
          <w:sz w:val="28"/>
          <w:szCs w:val="28"/>
        </w:rPr>
        <w:t>Приложение Перечень программных мероприятий муниципальной программы</w:t>
      </w:r>
      <w:r w:rsidR="000A4C58">
        <w:rPr>
          <w:rFonts w:ascii="Times New Roman" w:hAnsi="Times New Roman" w:cs="Times New Roman"/>
          <w:sz w:val="28"/>
          <w:szCs w:val="28"/>
        </w:rPr>
        <w:t xml:space="preserve"> изложить в новой редакции,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дополни</w:t>
      </w:r>
      <w:r w:rsidR="000A4C58">
        <w:rPr>
          <w:rFonts w:ascii="Times New Roman" w:eastAsia="Times New Roman" w:hAnsi="Times New Roman" w:cs="Times New Roman"/>
          <w:sz w:val="28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подпунктом 1.6. 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«Приобретение  фотореле  на фонари уличного освещения населенных пунктов»</w:t>
      </w:r>
      <w:r w:rsidR="000A4C58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64621A">
        <w:rPr>
          <w:rFonts w:ascii="Times New Roman" w:hAnsi="Times New Roman" w:cs="Times New Roman"/>
          <w:sz w:val="28"/>
          <w:szCs w:val="28"/>
        </w:rPr>
        <w:t xml:space="preserve"> на 2017 год 10000 рублей</w:t>
      </w:r>
      <w:r w:rsidR="000A4C58">
        <w:rPr>
          <w:rFonts w:ascii="Times New Roman" w:hAnsi="Times New Roman" w:cs="Times New Roman"/>
          <w:sz w:val="28"/>
          <w:szCs w:val="28"/>
        </w:rPr>
        <w:t>»;</w:t>
      </w:r>
    </w:p>
    <w:p w:rsidR="00AC35D4" w:rsidRDefault="000A4C58" w:rsidP="00AC3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1.1.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0A4C58">
        <w:rPr>
          <w:rFonts w:ascii="Times New Roman" w:eastAsia="Times New Roman" w:hAnsi="Times New Roman"/>
          <w:sz w:val="28"/>
          <w:szCs w:val="24"/>
          <w:lang w:eastAsia="ar-SA"/>
        </w:rPr>
        <w:t>Замена ламп накаливания на энергосберегающие уличного освещения населенных пунктов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» изложить в новой редакции: объем финансирования на 2017 год 15000 рублей.</w:t>
      </w:r>
      <w:proofErr w:type="gram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AC35D4">
        <w:rPr>
          <w:rFonts w:ascii="Times New Roman" w:hAnsi="Times New Roman" w:cs="Times New Roman"/>
          <w:sz w:val="28"/>
          <w:szCs w:val="28"/>
        </w:rPr>
        <w:t>(Приложение № 1).</w:t>
      </w:r>
      <w:r w:rsidR="00AC35D4">
        <w:rPr>
          <w:rFonts w:ascii="Times New Roman" w:hAnsi="Times New Roman" w:cs="Times New Roman"/>
        </w:rPr>
        <w:br/>
      </w:r>
    </w:p>
    <w:p w:rsidR="00AC35D4" w:rsidRDefault="00AC35D4" w:rsidP="00AC3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Глава администрации                                                        Л.В.Мальцева</w:t>
      </w: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4C58" w:rsidRDefault="000A4C58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A4C58" w:rsidRDefault="000A4C58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C35D4" w:rsidRDefault="000A4C58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</w:t>
      </w:r>
      <w:r w:rsidR="00AC35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1 </w:t>
      </w: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</w:t>
      </w: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0A4C58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A4C5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0A4C5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  <w:r w:rsidR="00325773">
        <w:rPr>
          <w:rFonts w:ascii="Times New Roman" w:eastAsia="Times New Roman" w:hAnsi="Times New Roman" w:cs="Times New Roman"/>
          <w:sz w:val="24"/>
          <w:szCs w:val="24"/>
          <w:lang w:eastAsia="ar-SA"/>
        </w:rPr>
        <w:t>35</w:t>
      </w: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6.Перечень программных мероприятий</w:t>
      </w:r>
    </w:p>
    <w:p w:rsidR="00AC35D4" w:rsidRDefault="00AC35D4" w:rsidP="00AC35D4">
      <w:pPr>
        <w:pStyle w:val="a3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tbl>
      <w:tblPr>
        <w:tblStyle w:val="1"/>
        <w:tblW w:w="9750" w:type="dxa"/>
        <w:tblLayout w:type="fixed"/>
        <w:tblLook w:val="04A0" w:firstRow="1" w:lastRow="0" w:firstColumn="1" w:lastColumn="0" w:noHBand="0" w:noVBand="1"/>
      </w:tblPr>
      <w:tblGrid>
        <w:gridCol w:w="530"/>
        <w:gridCol w:w="1987"/>
        <w:gridCol w:w="1704"/>
        <w:gridCol w:w="990"/>
        <w:gridCol w:w="993"/>
        <w:gridCol w:w="992"/>
        <w:gridCol w:w="850"/>
        <w:gridCol w:w="851"/>
        <w:gridCol w:w="853"/>
      </w:tblGrid>
      <w:tr w:rsidR="00AC35D4" w:rsidTr="00AC35D4">
        <w:trPr>
          <w:trHeight w:val="285"/>
        </w:trPr>
        <w:tc>
          <w:tcPr>
            <w:tcW w:w="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Источник финансирования</w:t>
            </w:r>
          </w:p>
        </w:tc>
        <w:tc>
          <w:tcPr>
            <w:tcW w:w="35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Объем финансирования, в том числе по годам</w:t>
            </w:r>
          </w:p>
        </w:tc>
      </w:tr>
      <w:tr w:rsidR="00AC35D4" w:rsidTr="00AC35D4">
        <w:trPr>
          <w:cantSplit/>
          <w:trHeight w:val="1134"/>
        </w:trPr>
        <w:tc>
          <w:tcPr>
            <w:tcW w:w="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5D4" w:rsidRDefault="00AC35D4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5D4" w:rsidRDefault="00AC35D4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5D4" w:rsidRDefault="00AC35D4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5D4" w:rsidRDefault="00AC35D4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35D4" w:rsidRDefault="00AC35D4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C35D4" w:rsidRDefault="00AC35D4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C35D4" w:rsidRDefault="00AC35D4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C35D4" w:rsidRDefault="00AC35D4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C35D4" w:rsidRDefault="00AC35D4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2018</w:t>
            </w:r>
          </w:p>
        </w:tc>
      </w:tr>
      <w:tr w:rsidR="00AC35D4" w:rsidTr="00AC35D4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AC35D4" w:rsidTr="00AC35D4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Замена ламп накаливания на энергосберегающие уличного освещения населенных пунктов</w:t>
            </w:r>
            <w:proofErr w:type="gramEnd"/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2016-2018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300</w:t>
            </w:r>
            <w:r w:rsidR="00AC35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AC35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AC35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7500</w:t>
            </w:r>
          </w:p>
        </w:tc>
      </w:tr>
      <w:tr w:rsidR="00AC35D4" w:rsidTr="00AC35D4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разъяснительных и иных мероприятий с руководством бюджетных учреждений, направленных энергосберегающее поведение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2016-2018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C35D4" w:rsidTr="00AC35D4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разъяснительной работы среди населения, направленных на энергосберегающее поведение, установки энергосберегающих ламп и бытовых приборов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2016-2018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C35D4" w:rsidTr="00AC35D4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Замена ламп накаливания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энергосберегающими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здании администрации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2016-2018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2500</w:t>
            </w:r>
          </w:p>
        </w:tc>
      </w:tr>
      <w:tr w:rsidR="00AC35D4" w:rsidTr="00AC35D4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 xml:space="preserve">Мероприятия по   </w:t>
            </w:r>
            <w:r>
              <w:rPr>
                <w:rFonts w:ascii="Times New Roman" w:hAnsi="Times New Roman"/>
              </w:rPr>
              <w:br/>
              <w:t xml:space="preserve">выявлению        </w:t>
            </w:r>
            <w:r>
              <w:rPr>
                <w:rFonts w:ascii="Times New Roman" w:hAnsi="Times New Roman"/>
              </w:rPr>
              <w:br/>
              <w:t xml:space="preserve">бесхозяйных 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объектов         </w:t>
            </w:r>
            <w:r>
              <w:rPr>
                <w:rFonts w:ascii="Times New Roman" w:hAnsi="Times New Roman"/>
              </w:rPr>
              <w:br/>
              <w:t xml:space="preserve">недвижимого      </w:t>
            </w:r>
            <w:r>
              <w:rPr>
                <w:rFonts w:ascii="Times New Roman" w:hAnsi="Times New Roman"/>
              </w:rPr>
              <w:br/>
              <w:t xml:space="preserve">имущества,       </w:t>
            </w:r>
            <w:r>
              <w:rPr>
                <w:rFonts w:ascii="Times New Roman" w:hAnsi="Times New Roman"/>
              </w:rPr>
              <w:br/>
              <w:t xml:space="preserve">используемых для </w:t>
            </w:r>
            <w:r>
              <w:rPr>
                <w:rFonts w:ascii="Times New Roman" w:hAnsi="Times New Roman"/>
              </w:rPr>
              <w:br/>
              <w:t xml:space="preserve">передачи         </w:t>
            </w:r>
            <w:r>
              <w:rPr>
                <w:rFonts w:ascii="Times New Roman" w:hAnsi="Times New Roman"/>
              </w:rPr>
              <w:br/>
              <w:t xml:space="preserve">энергетических   </w:t>
            </w:r>
            <w:r>
              <w:rPr>
                <w:rFonts w:ascii="Times New Roman" w:hAnsi="Times New Roman"/>
              </w:rPr>
              <w:br/>
              <w:t>ресурсов (включая</w:t>
            </w:r>
            <w:r>
              <w:rPr>
                <w:rFonts w:ascii="Times New Roman" w:hAnsi="Times New Roman"/>
              </w:rPr>
              <w:br/>
              <w:t xml:space="preserve">газоснабжение,   </w:t>
            </w:r>
            <w:r>
              <w:rPr>
                <w:rFonts w:ascii="Times New Roman" w:hAnsi="Times New Roman"/>
              </w:rPr>
              <w:br/>
              <w:t>тепл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и      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электроснаб</w:t>
            </w:r>
            <w:proofErr w:type="spellEnd"/>
            <w:r>
              <w:rPr>
                <w:rFonts w:ascii="Times New Roman" w:hAnsi="Times New Roman"/>
              </w:rPr>
              <w:t xml:space="preserve">-  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жение</w:t>
            </w:r>
            <w:proofErr w:type="spellEnd"/>
            <w:r>
              <w:rPr>
                <w:rFonts w:ascii="Times New Roman" w:hAnsi="Times New Roman"/>
              </w:rPr>
              <w:t xml:space="preserve">),          </w:t>
            </w:r>
            <w:r>
              <w:rPr>
                <w:rFonts w:ascii="Times New Roman" w:hAnsi="Times New Roman"/>
              </w:rPr>
              <w:br/>
              <w:t xml:space="preserve">организации      </w:t>
            </w:r>
            <w:r>
              <w:rPr>
                <w:rFonts w:ascii="Times New Roman" w:hAnsi="Times New Roman"/>
              </w:rPr>
              <w:br/>
              <w:t xml:space="preserve">постановки в     </w:t>
            </w:r>
            <w:r>
              <w:rPr>
                <w:rFonts w:ascii="Times New Roman" w:hAnsi="Times New Roman"/>
              </w:rPr>
              <w:br/>
              <w:t xml:space="preserve">установленном    </w:t>
            </w:r>
            <w:r>
              <w:rPr>
                <w:rFonts w:ascii="Times New Roman" w:hAnsi="Times New Roman"/>
              </w:rPr>
              <w:br/>
              <w:t xml:space="preserve">порядке таких    </w:t>
            </w:r>
            <w:r>
              <w:rPr>
                <w:rFonts w:ascii="Times New Roman" w:hAnsi="Times New Roman"/>
              </w:rPr>
              <w:br/>
              <w:t xml:space="preserve">объектов на учет </w:t>
            </w:r>
            <w:r>
              <w:rPr>
                <w:rFonts w:ascii="Times New Roman" w:hAnsi="Times New Roman"/>
              </w:rPr>
              <w:br/>
              <w:t xml:space="preserve">в качестве       </w:t>
            </w:r>
            <w:r>
              <w:rPr>
                <w:rFonts w:ascii="Times New Roman" w:hAnsi="Times New Roman"/>
              </w:rPr>
              <w:br/>
              <w:t xml:space="preserve">бесхозяйных      </w:t>
            </w:r>
            <w:r>
              <w:rPr>
                <w:rFonts w:ascii="Times New Roman" w:hAnsi="Times New Roman"/>
              </w:rPr>
              <w:br/>
              <w:t xml:space="preserve">объектов         </w:t>
            </w:r>
            <w:r>
              <w:rPr>
                <w:rFonts w:ascii="Times New Roman" w:hAnsi="Times New Roman"/>
              </w:rPr>
              <w:br/>
              <w:t xml:space="preserve">недвижимого      </w:t>
            </w:r>
            <w:r>
              <w:rPr>
                <w:rFonts w:ascii="Times New Roman" w:hAnsi="Times New Roman"/>
              </w:rPr>
              <w:br/>
              <w:t>имущества и затем</w:t>
            </w:r>
            <w:r>
              <w:rPr>
                <w:rFonts w:ascii="Times New Roman" w:hAnsi="Times New Roman"/>
              </w:rPr>
              <w:br/>
              <w:t xml:space="preserve">признанию права  </w:t>
            </w:r>
            <w:r>
              <w:rPr>
                <w:rFonts w:ascii="Times New Roman" w:hAnsi="Times New Roman"/>
              </w:rPr>
              <w:br/>
              <w:t xml:space="preserve">муниципальной    </w:t>
            </w:r>
            <w:r>
              <w:rPr>
                <w:rFonts w:ascii="Times New Roman" w:hAnsi="Times New Roman"/>
              </w:rPr>
              <w:br/>
              <w:t xml:space="preserve">собственности на </w:t>
            </w:r>
            <w:r>
              <w:rPr>
                <w:rFonts w:ascii="Times New Roman" w:hAnsi="Times New Roman"/>
              </w:rPr>
              <w:br/>
              <w:t>такие бесхозяйные</w:t>
            </w:r>
            <w:r>
              <w:rPr>
                <w:rFonts w:ascii="Times New Roman" w:hAnsi="Times New Roman"/>
              </w:rPr>
              <w:br/>
              <w:t xml:space="preserve">объекты          </w:t>
            </w:r>
            <w:r>
              <w:rPr>
                <w:rFonts w:ascii="Times New Roman" w:hAnsi="Times New Roman"/>
              </w:rPr>
              <w:br/>
              <w:t xml:space="preserve">недвижимого      </w:t>
            </w:r>
            <w:r>
              <w:rPr>
                <w:rFonts w:ascii="Times New Roman" w:hAnsi="Times New Roman"/>
              </w:rPr>
              <w:br/>
              <w:t>имущества.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униципального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образования</w:t>
            </w: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2016-2018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5D4" w:rsidRDefault="00AC35D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0A4C58" w:rsidTr="00AC35D4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1.6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C58" w:rsidRDefault="000A4C58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фотореле на фонари уличного освещения населенных пунктов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C58" w:rsidRDefault="000A4C58" w:rsidP="000A158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C58" w:rsidRDefault="000A4C58" w:rsidP="000A158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2016-2018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C58" w:rsidRDefault="000A4C58" w:rsidP="000A158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0A4C58" w:rsidTr="00AC35D4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C58" w:rsidRDefault="00A23328" w:rsidP="00A2332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4750</w:t>
            </w:r>
            <w:r w:rsidR="000A4C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C58" w:rsidRDefault="000A4C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C58" w:rsidRDefault="00A2332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275</w:t>
            </w:r>
            <w:r w:rsidR="000A4C5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C58" w:rsidRDefault="000A4C58">
            <w:pPr>
              <w:suppressAutoHyphens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10000</w:t>
            </w:r>
          </w:p>
        </w:tc>
      </w:tr>
    </w:tbl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AC35D4" w:rsidRDefault="00AC35D4" w:rsidP="00AC35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AC35D4" w:rsidRDefault="00AC35D4" w:rsidP="00AC35D4"/>
    <w:p w:rsidR="00D14B03" w:rsidRDefault="00D14B03"/>
    <w:sectPr w:rsidR="00D14B03" w:rsidSect="00D1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5D4"/>
    <w:rsid w:val="000A4C58"/>
    <w:rsid w:val="00325773"/>
    <w:rsid w:val="0064621A"/>
    <w:rsid w:val="00A23328"/>
    <w:rsid w:val="00AC35D4"/>
    <w:rsid w:val="00D1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D4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C35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2</cp:revision>
  <dcterms:created xsi:type="dcterms:W3CDTF">2017-10-18T06:56:00Z</dcterms:created>
  <dcterms:modified xsi:type="dcterms:W3CDTF">2017-11-02T04:53:00Z</dcterms:modified>
</cp:coreProperties>
</file>